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56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15,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333-195170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333-202677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333-210523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333-217686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333-217687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333-224959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333-231644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333-234697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333-254264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333-255941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333-263070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333-271103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333-286274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177165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150495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333-195170</w:t>
      </w:r>
    </w:p>
    <w:p>
      <w:pPr>
        <w:spacing w:after="0" w:line="3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333-202677</w:t>
      </w:r>
    </w:p>
    <w:p>
      <w:pPr>
        <w:spacing w:after="0" w:line="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333-210523</w:t>
      </w:r>
    </w:p>
    <w:p>
      <w:pPr>
        <w:spacing w:after="0" w:line="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333-217686</w:t>
      </w:r>
    </w:p>
    <w:p>
      <w:pPr>
        <w:spacing w:after="0" w:line="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333-217687</w:t>
      </w:r>
    </w:p>
    <w:p>
      <w:pPr>
        <w:spacing w:after="0" w:line="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POST-EFFECTIVE AMENDMENT NO. 2 TO FORM S-8 REGISTRATION STATEMENT NO. 333-224959</w:t>
      </w:r>
    </w:p>
    <w:p>
      <w:pPr>
        <w:spacing w:after="0" w:line="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333-231644</w:t>
      </w:r>
    </w:p>
    <w:p>
      <w:pPr>
        <w:spacing w:after="0" w:line="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333-234697</w:t>
      </w:r>
    </w:p>
    <w:p>
      <w:pPr>
        <w:spacing w:after="0" w:line="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333-254264</w:t>
      </w:r>
    </w:p>
    <w:p>
      <w:pPr>
        <w:spacing w:after="0" w:line="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333-255941</w:t>
      </w:r>
    </w:p>
    <w:p>
      <w:pPr>
        <w:spacing w:after="0" w:line="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333-263070</w:t>
      </w:r>
    </w:p>
    <w:p>
      <w:pPr>
        <w:spacing w:after="0" w:line="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333-271103</w:t>
      </w:r>
    </w:p>
    <w:p>
      <w:pPr>
        <w:spacing w:after="0" w:line="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333-286274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CARISMA THERAPEUTICS INC.</w:t>
      </w:r>
    </w:p>
    <w:p>
      <w:pPr>
        <w:spacing w:after="0" w:line="58"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150495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6060" w:type="dxa"/>
            <w:vAlign w:val="bottom"/>
          </w:tcPr>
          <w:p>
            <w:pPr>
              <w:jc w:val="center"/>
              <w:ind w:right="29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26-2025616</w:t>
            </w:r>
          </w:p>
        </w:tc>
      </w:tr>
      <w:tr>
        <w:trPr>
          <w:trHeight w:val="216"/>
        </w:trPr>
        <w:tc>
          <w:tcPr>
            <w:tcW w:w="6060" w:type="dxa"/>
            <w:vAlign w:val="bottom"/>
          </w:tcPr>
          <w:p>
            <w:pPr>
              <w:jc w:val="center"/>
              <w:ind w:right="291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204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6060" w:type="dxa"/>
            <w:vAlign w:val="bottom"/>
          </w:tcPr>
          <w:p>
            <w:pPr>
              <w:jc w:val="center"/>
              <w:ind w:right="291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204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410"/>
        </w:trPr>
        <w:tc>
          <w:tcPr>
            <w:tcW w:w="6060" w:type="dxa"/>
            <w:vAlign w:val="bottom"/>
          </w:tcPr>
          <w:p>
            <w:pPr>
              <w:jc w:val="center"/>
              <w:ind w:right="2890"/>
              <w:spacing w:after="0"/>
              <w:rPr>
                <w:sz w:val="20"/>
                <w:szCs w:val="20"/>
                <w:color w:val="auto"/>
              </w:rPr>
            </w:pPr>
            <w:r>
              <w:rPr>
                <w:rFonts w:ascii="Times New Roman" w:cs="Times New Roman" w:eastAsia="Times New Roman" w:hAnsi="Times New Roman"/>
                <w:sz w:val="18"/>
                <w:szCs w:val="18"/>
                <w:b w:val="1"/>
                <w:bCs w:val="1"/>
                <w:color w:val="auto"/>
                <w:w w:val="99"/>
              </w:rPr>
              <w:t>3675 Market Street, Suite 401</w:t>
            </w:r>
          </w:p>
        </w:tc>
        <w:tc>
          <w:tcPr>
            <w:tcW w:w="2040" w:type="dxa"/>
            <w:vAlign w:val="bottom"/>
          </w:tcPr>
          <w:p>
            <w:pPr>
              <w:spacing w:after="0"/>
              <w:rPr>
                <w:sz w:val="24"/>
                <w:szCs w:val="24"/>
                <w:color w:val="auto"/>
              </w:rPr>
            </w:pPr>
          </w:p>
        </w:tc>
      </w:tr>
      <w:tr>
        <w:trPr>
          <w:trHeight w:val="216"/>
        </w:trPr>
        <w:tc>
          <w:tcPr>
            <w:tcW w:w="6060" w:type="dxa"/>
            <w:vAlign w:val="bottom"/>
          </w:tcPr>
          <w:p>
            <w:pPr>
              <w:jc w:val="center"/>
              <w:ind w:right="2910"/>
              <w:spacing w:after="0"/>
              <w:rPr>
                <w:sz w:val="20"/>
                <w:szCs w:val="20"/>
                <w:color w:val="auto"/>
              </w:rPr>
            </w:pPr>
            <w:r>
              <w:rPr>
                <w:rFonts w:ascii="Times New Roman" w:cs="Times New Roman" w:eastAsia="Times New Roman" w:hAnsi="Times New Roman"/>
                <w:sz w:val="18"/>
                <w:szCs w:val="18"/>
                <w:b w:val="1"/>
                <w:bCs w:val="1"/>
                <w:color w:val="auto"/>
                <w:w w:val="99"/>
              </w:rPr>
              <w:t>Philadelphia, PA</w:t>
            </w:r>
          </w:p>
        </w:tc>
        <w:tc>
          <w:tcPr>
            <w:tcW w:w="20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19104</w:t>
            </w:r>
          </w:p>
        </w:tc>
      </w:tr>
      <w:tr>
        <w:trPr>
          <w:trHeight w:val="238"/>
        </w:trPr>
        <w:tc>
          <w:tcPr>
            <w:tcW w:w="6060" w:type="dxa"/>
            <w:vAlign w:val="bottom"/>
          </w:tcPr>
          <w:p>
            <w:pPr>
              <w:jc w:val="center"/>
              <w:ind w:right="29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04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410"/>
        </w:trPr>
        <w:tc>
          <w:tcPr>
            <w:tcW w:w="60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Amended and Restated 2009 Stock Incentive Plan</w:t>
            </w:r>
          </w:p>
        </w:tc>
        <w:tc>
          <w:tcPr>
            <w:tcW w:w="2040" w:type="dxa"/>
            <w:vAlign w:val="bottom"/>
          </w:tcPr>
          <w:p>
            <w:pPr>
              <w:spacing w:after="0"/>
              <w:rPr>
                <w:sz w:val="24"/>
                <w:szCs w:val="24"/>
                <w:color w:val="auto"/>
              </w:rPr>
            </w:pPr>
          </w:p>
        </w:tc>
      </w:tr>
      <w:tr>
        <w:trPr>
          <w:trHeight w:val="216"/>
        </w:trPr>
        <w:tc>
          <w:tcPr>
            <w:tcW w:w="60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Amended and Restated 2014 Stock Incentive Plan</w:t>
            </w:r>
          </w:p>
        </w:tc>
        <w:tc>
          <w:tcPr>
            <w:tcW w:w="2040" w:type="dxa"/>
            <w:vAlign w:val="bottom"/>
          </w:tcPr>
          <w:p>
            <w:pPr>
              <w:spacing w:after="0"/>
              <w:rPr>
                <w:sz w:val="18"/>
                <w:szCs w:val="18"/>
                <w:color w:val="auto"/>
              </w:rPr>
            </w:pPr>
          </w:p>
        </w:tc>
      </w:tr>
      <w:tr>
        <w:trPr>
          <w:trHeight w:val="216"/>
        </w:trPr>
        <w:tc>
          <w:tcPr>
            <w:tcW w:w="60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2014 Employee Stock Purchase Plan</w:t>
            </w:r>
          </w:p>
        </w:tc>
        <w:tc>
          <w:tcPr>
            <w:tcW w:w="2040" w:type="dxa"/>
            <w:vAlign w:val="bottom"/>
          </w:tcPr>
          <w:p>
            <w:pPr>
              <w:spacing w:after="0"/>
              <w:rPr>
                <w:sz w:val="18"/>
                <w:szCs w:val="18"/>
                <w:color w:val="auto"/>
              </w:rPr>
            </w:pPr>
          </w:p>
        </w:tc>
      </w:tr>
      <w:tr>
        <w:trPr>
          <w:trHeight w:val="216"/>
        </w:trPr>
        <w:tc>
          <w:tcPr>
            <w:tcW w:w="60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CARISMA Therapeutics Inc. 2017 Stock Incentive Plan</w:t>
            </w:r>
          </w:p>
        </w:tc>
        <w:tc>
          <w:tcPr>
            <w:tcW w:w="2040" w:type="dxa"/>
            <w:vAlign w:val="bottom"/>
          </w:tcPr>
          <w:p>
            <w:pPr>
              <w:spacing w:after="0"/>
              <w:rPr>
                <w:sz w:val="18"/>
                <w:szCs w:val="18"/>
                <w:color w:val="auto"/>
              </w:rPr>
            </w:pPr>
          </w:p>
        </w:tc>
      </w:tr>
      <w:tr>
        <w:trPr>
          <w:trHeight w:val="216"/>
        </w:trPr>
        <w:tc>
          <w:tcPr>
            <w:tcW w:w="60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Inducement Stock Option Awards</w:t>
            </w:r>
          </w:p>
        </w:tc>
        <w:tc>
          <w:tcPr>
            <w:tcW w:w="2040" w:type="dxa"/>
            <w:vAlign w:val="bottom"/>
          </w:tcPr>
          <w:p>
            <w:pPr>
              <w:spacing w:after="0"/>
              <w:rPr>
                <w:sz w:val="18"/>
                <w:szCs w:val="18"/>
                <w:color w:val="auto"/>
              </w:rPr>
            </w:pPr>
          </w:p>
        </w:tc>
      </w:tr>
      <w:tr>
        <w:trPr>
          <w:trHeight w:val="238"/>
        </w:trPr>
        <w:tc>
          <w:tcPr>
            <w:tcW w:w="60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(Full title of the plan)</w:t>
            </w:r>
          </w:p>
        </w:tc>
        <w:tc>
          <w:tcPr>
            <w:tcW w:w="20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145415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Steven Kelly</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Interim Chief Executive Officer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Carisma Therapeutics Inc.</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3675 Market Street, Suite 401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Philadelphia, PA 19104</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(267) 491-6422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31"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Brian A. Johnson</w:t>
      </w:r>
    </w:p>
    <w:p>
      <w:pPr>
        <w:sectPr>
          <w:pgSz w:w="11900" w:h="16838" w:orient="portrait"/>
          <w:cols w:equalWidth="0" w:num="1">
            <w:col w:w="10120"/>
          </w:cols>
          <w:pgMar w:left="1440" w:top="468" w:right="339" w:bottom="0" w:gutter="0" w:footer="0" w:header="0"/>
        </w:sectPr>
      </w:pPr>
    </w:p>
    <w:bookmarkStart w:id="1" w:name="page2"/>
    <w:bookmarkEnd w:id="1"/>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Wilmer Cutler Pickering Hale and Dorr LLP</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7 World Trade Center</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250 Greenwich Street</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New York, New York 10007</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Telephone: (212) 230-8800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Post-Effective Amendments (these “</w:t>
      </w:r>
      <w:r>
        <w:rPr>
          <w:rFonts w:ascii="Times New Roman" w:cs="Times New Roman" w:eastAsia="Times New Roman" w:hAnsi="Times New Roman"/>
          <w:sz w:val="18"/>
          <w:szCs w:val="18"/>
          <w:u w:val="single" w:color="auto"/>
          <w:color w:val="auto"/>
        </w:rPr>
        <w:t>Post-Effective Amendments</w:t>
      </w:r>
      <w:r>
        <w:rPr>
          <w:rFonts w:ascii="Times New Roman" w:cs="Times New Roman" w:eastAsia="Times New Roman" w:hAnsi="Times New Roman"/>
          <w:sz w:val="18"/>
          <w:szCs w:val="18"/>
          <w:color w:val="auto"/>
        </w:rPr>
        <w:t>”) relate to the following Registration Statements on Form S-8 (each, a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Registration Statements</w:t>
      </w:r>
      <w:r>
        <w:rPr>
          <w:rFonts w:ascii="Times New Roman" w:cs="Times New Roman" w:eastAsia="Times New Roman" w:hAnsi="Times New Roman"/>
          <w:sz w:val="18"/>
          <w:szCs w:val="18"/>
          <w:color w:val="auto"/>
        </w:rPr>
        <w:t>”) filed by Carisma Therapeutics Inc., a Delaware corporation (previously named Eleven Biotherapeutics, Inc. and Sesen Bio, Inc.,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to deregister any and all shares of the Registrant’s common stock, par value $0.001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registered but unsold or otherwise unissued under each such Registration Statement as of the date hereof:</w:t>
      </w:r>
    </w:p>
    <w:p>
      <w:pPr>
        <w:spacing w:after="0" w:line="183" w:lineRule="exact"/>
        <w:rPr>
          <w:sz w:val="20"/>
          <w:szCs w:val="20"/>
          <w:color w:val="auto"/>
        </w:rPr>
      </w:pPr>
    </w:p>
    <w:p>
      <w:pPr>
        <w:ind w:right="420" w:firstLine="656"/>
        <w:spacing w:after="0" w:line="261" w:lineRule="auto"/>
        <w:tabs>
          <w:tab w:leader="none" w:pos="163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 No. 333-195170), filed with the SEC on April 9, 2014, registering 67,311 shares of Common Stock issuable under the Registrant’s Amended and Restated 2009 Stock Incentive Plan, 35,512 shares of Common Stock issuable under the Registrant’s 2014 Stock Incentive Plan (the “</w:t>
      </w:r>
      <w:r>
        <w:rPr>
          <w:rFonts w:ascii="Times New Roman" w:cs="Times New Roman" w:eastAsia="Times New Roman" w:hAnsi="Times New Roman"/>
          <w:sz w:val="18"/>
          <w:szCs w:val="18"/>
          <w:u w:val="single" w:color="auto"/>
          <w:color w:val="auto"/>
        </w:rPr>
        <w:t>2014 Plan</w:t>
      </w:r>
      <w:r>
        <w:rPr>
          <w:rFonts w:ascii="Times New Roman" w:cs="Times New Roman" w:eastAsia="Times New Roman" w:hAnsi="Times New Roman"/>
          <w:sz w:val="18"/>
          <w:szCs w:val="18"/>
          <w:color w:val="auto"/>
        </w:rPr>
        <w:t>”) and 7,874 shares of Common Stock issuable under the Registrant’s 2014 Employee Stock Purchase Plan (the “</w:t>
      </w:r>
      <w:r>
        <w:rPr>
          <w:rFonts w:ascii="Times New Roman" w:cs="Times New Roman" w:eastAsia="Times New Roman" w:hAnsi="Times New Roman"/>
          <w:sz w:val="18"/>
          <w:szCs w:val="18"/>
          <w:u w:val="single" w:color="auto"/>
          <w:color w:val="auto"/>
        </w:rPr>
        <w:t>2014 ESPP</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400" w:firstLine="656"/>
        <w:spacing w:after="0" w:line="282" w:lineRule="auto"/>
        <w:tabs>
          <w:tab w:leader="none" w:pos="163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 No. 333-202677), filed with the SEC on March 12, 2015, registering 36,116 shares of Common Stock issuable under the 2014 Plan.</w:t>
      </w:r>
    </w:p>
    <w:p>
      <w:pPr>
        <w:spacing w:after="0" w:line="161" w:lineRule="exact"/>
        <w:rPr>
          <w:rFonts w:ascii="Times New Roman" w:cs="Times New Roman" w:eastAsia="Times New Roman" w:hAnsi="Times New Roman"/>
          <w:sz w:val="18"/>
          <w:szCs w:val="18"/>
          <w:color w:val="auto"/>
        </w:rPr>
      </w:pPr>
    </w:p>
    <w:p>
      <w:pPr>
        <w:ind w:right="400" w:firstLine="656"/>
        <w:spacing w:after="0" w:line="282" w:lineRule="auto"/>
        <w:tabs>
          <w:tab w:leader="none" w:pos="163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 No. 333-210523), filed with the SEC on March 31, 2016, registering 39,321 shares of Common Stock issuable under the 2014 Plan.</w:t>
      </w:r>
    </w:p>
    <w:p>
      <w:pPr>
        <w:spacing w:after="0" w:line="161" w:lineRule="exact"/>
        <w:rPr>
          <w:rFonts w:ascii="Times New Roman" w:cs="Times New Roman" w:eastAsia="Times New Roman" w:hAnsi="Times New Roman"/>
          <w:sz w:val="18"/>
          <w:szCs w:val="18"/>
          <w:color w:val="auto"/>
        </w:rPr>
      </w:pPr>
    </w:p>
    <w:p>
      <w:pPr>
        <w:ind w:right="620" w:firstLine="656"/>
        <w:spacing w:after="0" w:line="282" w:lineRule="auto"/>
        <w:tabs>
          <w:tab w:leader="none" w:pos="163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 No. 333-217686), filed with the SEC on May 5, 2017, registering 49,108 shares of Common Stock issuable under the 2014 Plan.</w:t>
      </w:r>
    </w:p>
    <w:p>
      <w:pPr>
        <w:spacing w:after="0" w:line="161" w:lineRule="exact"/>
        <w:rPr>
          <w:rFonts w:ascii="Times New Roman" w:cs="Times New Roman" w:eastAsia="Times New Roman" w:hAnsi="Times New Roman"/>
          <w:sz w:val="18"/>
          <w:szCs w:val="18"/>
          <w:color w:val="auto"/>
        </w:rPr>
      </w:pPr>
    </w:p>
    <w:p>
      <w:pPr>
        <w:ind w:right="620" w:firstLine="656"/>
        <w:spacing w:after="0" w:line="282" w:lineRule="auto"/>
        <w:tabs>
          <w:tab w:leader="none" w:pos="163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 No. 333-217687), filed with the SEC on May 5, 2017, registering 32,500 shares of Common Stock issuable under Inducement Stock Options granted on September 20, 2016 to certain employees.</w:t>
      </w:r>
    </w:p>
    <w:p>
      <w:pPr>
        <w:spacing w:after="0" w:line="161" w:lineRule="exact"/>
        <w:rPr>
          <w:rFonts w:ascii="Times New Roman" w:cs="Times New Roman" w:eastAsia="Times New Roman" w:hAnsi="Times New Roman"/>
          <w:sz w:val="18"/>
          <w:szCs w:val="18"/>
          <w:color w:val="auto"/>
        </w:rPr>
      </w:pPr>
    </w:p>
    <w:p>
      <w:pPr>
        <w:ind w:right="140" w:firstLine="656"/>
        <w:spacing w:after="0" w:line="261" w:lineRule="auto"/>
        <w:tabs>
          <w:tab w:leader="none" w:pos="163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 No. 333-224959), filed with the SEC on May 16, 2018, registering 69,405 shares of Common Stock issuable under the 2014 Plan, as amended by Post-Effective Amendment No. 1 to Registration Statement on Form S-8, filed with the SEC on August 10, 2018, deregistering 14,287 of such shares of Common Stock issuable under the 2014 Plan previously registered under the Registration Statement.</w:t>
      </w:r>
    </w:p>
    <w:p>
      <w:pPr>
        <w:spacing w:after="0" w:line="179" w:lineRule="exact"/>
        <w:rPr>
          <w:rFonts w:ascii="Times New Roman" w:cs="Times New Roman" w:eastAsia="Times New Roman" w:hAnsi="Times New Roman"/>
          <w:sz w:val="18"/>
          <w:szCs w:val="18"/>
          <w:color w:val="auto"/>
        </w:rPr>
      </w:pPr>
    </w:p>
    <w:p>
      <w:pPr>
        <w:jc w:val="both"/>
        <w:ind w:right="500" w:firstLine="656"/>
        <w:spacing w:after="0" w:line="266" w:lineRule="auto"/>
        <w:tabs>
          <w:tab w:leader="none" w:pos="163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 No. 333-231644), filed with the SEC on May 21, 2019, registering 55,118 shares of Common Stock issuable under the 2014 Plan and aggregate of 88,750 shares of Common Stock issuable under Inducement Stock Options granted on August 7, 2018 and December 3, 2018 to certain employees.</w:t>
      </w:r>
    </w:p>
    <w:p>
      <w:pPr>
        <w:spacing w:after="0" w:line="175" w:lineRule="exact"/>
        <w:rPr>
          <w:rFonts w:ascii="Times New Roman" w:cs="Times New Roman" w:eastAsia="Times New Roman" w:hAnsi="Times New Roman"/>
          <w:sz w:val="18"/>
          <w:szCs w:val="18"/>
          <w:color w:val="auto"/>
        </w:rPr>
      </w:pPr>
    </w:p>
    <w:p>
      <w:pPr>
        <w:ind w:right="20" w:firstLine="656"/>
        <w:spacing w:after="0" w:line="266" w:lineRule="auto"/>
        <w:tabs>
          <w:tab w:leader="none" w:pos="163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 No. 333-234697), filed with the SEC on November 14, 2019, registering 395,448 shares of Common Stock issuable under the 2014 Plan and an aggregate of 32,500 shares of Common Stock issuable under Inducement Stock Options granted on August 1, 2019 and September 3, 2019 to certain employees.</w:t>
      </w:r>
    </w:p>
    <w:p>
      <w:pPr>
        <w:spacing w:after="0" w:line="175" w:lineRule="exact"/>
        <w:rPr>
          <w:rFonts w:ascii="Times New Roman" w:cs="Times New Roman" w:eastAsia="Times New Roman" w:hAnsi="Times New Roman"/>
          <w:sz w:val="18"/>
          <w:szCs w:val="18"/>
          <w:color w:val="auto"/>
        </w:rPr>
      </w:pPr>
    </w:p>
    <w:p>
      <w:pPr>
        <w:ind w:right="480" w:firstLine="656"/>
        <w:spacing w:after="0" w:line="282" w:lineRule="auto"/>
        <w:tabs>
          <w:tab w:leader="none" w:pos="163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 No. 333-254264), filed with the SEC on March 15, 2021, registering 1,650 shares of Common Stock issuable under Inducement Stock Options granted on January 27, 2020 to certain employees.</w:t>
      </w:r>
    </w:p>
    <w:p>
      <w:pPr>
        <w:spacing w:after="0" w:line="161" w:lineRule="exact"/>
        <w:rPr>
          <w:rFonts w:ascii="Times New Roman" w:cs="Times New Roman" w:eastAsia="Times New Roman" w:hAnsi="Times New Roman"/>
          <w:sz w:val="18"/>
          <w:szCs w:val="18"/>
          <w:color w:val="auto"/>
        </w:rPr>
      </w:pPr>
    </w:p>
    <w:p>
      <w:pPr>
        <w:ind w:right="480" w:firstLine="656"/>
        <w:spacing w:after="0" w:line="282" w:lineRule="auto"/>
        <w:tabs>
          <w:tab w:leader="none" w:pos="100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Registration Statement on Form S-8 (File No. 333-255941), filed with the SEC on May 10, 2021, registering 600,000 shares of Common Stock issuable under the 2014 Plan and 115,000 shares of Common Stock issuable under the 2014 ESPP.</w:t>
      </w:r>
    </w:p>
    <w:p>
      <w:pPr>
        <w:spacing w:after="0" w:line="161" w:lineRule="exact"/>
        <w:rPr>
          <w:rFonts w:ascii="Times New Roman" w:cs="Times New Roman" w:eastAsia="Times New Roman" w:hAnsi="Times New Roman"/>
          <w:sz w:val="18"/>
          <w:szCs w:val="18"/>
          <w:color w:val="auto"/>
        </w:rPr>
      </w:pPr>
    </w:p>
    <w:p>
      <w:pPr>
        <w:ind w:right="260" w:firstLine="656"/>
        <w:spacing w:after="0" w:line="312" w:lineRule="auto"/>
        <w:tabs>
          <w:tab w:leader="none" w:pos="1181"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Registration Statement on Form S-8 (File No. 333-263070), filed with the SEC on February 28, 2022, registering an aggregate of 70,300 shares of Common Stock issuable under Inducement Stock Options granted between March 16, 2021 and January 24, 2022 to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right="80" w:firstLine="656"/>
        <w:spacing w:after="0" w:line="258"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Registration Statement on Form S-8 (File No. 333-271103), filed with the SEC on April 4, 2023, registering 5,586,568 shares of Common Stock issuable under the Amended and Restated 2014 Stock Incentive Plan (which amended and restated the 2014 Plan), 278,432 shares of Common Stock issuable under the 2014 ESPP and 3,424,522 shares of Common Stock issuable under the Registrant’s 2017 Stock Incentive Plan with respect to options assumed by the Registrant pursuant to that certain Agreement and Plan of Merger and Reorganization (as amended), by and among the Registrant, CTx Operations, Inc. (formerly CARISMA Therapeutics Inc.) and Seahawk Merger Sub, Inc.</w:t>
      </w:r>
    </w:p>
    <w:p>
      <w:pPr>
        <w:spacing w:after="0" w:line="183" w:lineRule="exact"/>
        <w:rPr>
          <w:rFonts w:ascii="Times New Roman" w:cs="Times New Roman" w:eastAsia="Times New Roman" w:hAnsi="Times New Roman"/>
          <w:sz w:val="18"/>
          <w:szCs w:val="18"/>
          <w:color w:val="auto"/>
        </w:rPr>
      </w:pPr>
    </w:p>
    <w:p>
      <w:pPr>
        <w:ind w:right="20" w:firstLine="656"/>
        <w:spacing w:after="0" w:line="282" w:lineRule="auto"/>
        <w:tabs>
          <w:tab w:leader="none" w:pos="127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Registration Statement on Form S-8 (File No. 333- 286274), filed with the SEC on March 31, 2025, registering 1,670,004 shares of Common Stock issuable under the Amended and Restated 2014 Stock Incentive Plan (which amended and restated the 2014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share numbers set forth above reflect a 1-for-20 reverse stock split of Common Stock, that became effective on March 7, 2023.</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Registrant has terminated all offerings of its securities pursuant to the Registration Statements. In accordance with an undertaking made by the Registrant in Part II of each Registration Statement to remove from registration by means of a post-effective amendment any securities that had been registered for issuance but remain unsold at the termination of the offering, by filing these Post-Effective Amendments, the Registrant hereby terminates the effectiveness of the Registration Statements and removes from registration any and all securities registered but unsold or otherwise unissued under the Registration Statements, if any, as of the date hereof. The Registration Statements are hereby amended, as appropriate, to reflect the deregistration of such securities. After giving effect to these Post-Effective Amendments, there will be no securities registered by the Company pursuant to the Registration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04" w:right="479" w:bottom="1440" w:gutter="0" w:footer="0" w:header="0"/>
        </w:sectPr>
      </w:pPr>
    </w:p>
    <w:bookmarkStart w:id="4" w:name="page5"/>
    <w:bookmarkEnd w:id="4"/>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these Post-Effective Amendments to be signed on its behalf by the undersigned, thereunto duly authorized, in the City of Philadelphia, Commonwealth of Pennsylvania, on December 15,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Carisma Therapeutics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Kelly</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Steven Kelly</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60"/>
      </w:cols>
      <w:pgMar w:left="320" w:top="90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2025-12-15T18:36:51Z</dcterms:created>
  <dcterms:modified xsi:type="dcterms:W3CDTF">2025-12-15T18:36:51Z</dcterms:modified>
</cp:coreProperties>
</file>