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18620d2_8k.htm"/>
      <w:bookmarkStart w:id="1" w:name="kstm2518620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June 22,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Carisma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3395"/>
        <w:gridCol w:w="60"/>
        <w:gridCol w:w="1385"/>
        <w:gridCol w:w="60"/>
        <w:gridCol w:w="1880"/>
      </w:tblGrid>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001-36296</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26-2025616</w:t>
            </w:r>
          </w:p>
        </w:tc>
      </w:tr>
      <w:tr>
        <w:trPr/>
        <w:tc>
          <w:tcPr>
            <w:tcW w:w="339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b/>
              </w:rPr>
            </w:pPr>
            <w:r>
              <w:rPr>
                <w:b/>
              </w:rPr>
              <w:t>3675 Market Street, Suite 401</w:t>
              <w:br/>
              <w:t xml:space="preserve">Philadelphia, PA </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19104</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(267) 491-6422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335" w:type="dxa"/>
        <w:jc w:val="left"/>
        <w:tblInd w:w="0" w:type="dxa"/>
        <w:tblLayout w:type="fixed"/>
        <w:tblCellMar>
          <w:top w:w="0" w:type="dxa"/>
          <w:left w:w="0" w:type="dxa"/>
          <w:bottom w:w="0" w:type="dxa"/>
          <w:right w:w="0" w:type="dxa"/>
        </w:tblCellMar>
      </w:tblPr>
      <w:tblGrid>
        <w:gridCol w:w="3680"/>
        <w:gridCol w:w="60"/>
        <w:gridCol w:w="860"/>
        <w:gridCol w:w="60"/>
        <w:gridCol w:w="26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r>
        <w:trPr/>
        <w:tc>
          <w:tcPr>
            <w:tcW w:w="3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vAlign w:val="center"/>
          </w:tcPr>
          <w:p>
            <w:pPr>
              <w:pStyle w:val="TableContents"/>
              <w:bidi w:val="0"/>
              <w:spacing w:before="0" w:after="283"/>
              <w:jc w:val="left"/>
              <w:rPr/>
            </w:pPr>
            <w:r>
              <w:rPr/>
              <w:t> </w:t>
            </w:r>
          </w:p>
        </w:tc>
        <w:tc>
          <w:tcPr>
            <w:tcW w:w="2675" w:type="dxa"/>
            <w:tcBorders>
              <w:bottom w:val="single" w:sz="8" w:space="0" w:color="000000"/>
            </w:tcBorders>
            <w:tcMar>
              <w:bottom w:w="28" w:type="dxa"/>
            </w:tcMar>
            <w:vAlign w:val="center"/>
          </w:tcPr>
          <w:p>
            <w:pPr>
              <w:pStyle w:val="TableContents"/>
              <w:bidi w:val="0"/>
              <w:spacing w:before="0" w:after="283"/>
              <w:jc w:val="center"/>
              <w:rPr>
                <w:b/>
              </w:rPr>
            </w:pPr>
            <w:r>
              <w:rPr>
                <w:b/>
              </w:rPr>
              <w:t>Name of exchange</w:t>
              <w:br/>
              <w:t>on which registered</w:t>
            </w:r>
          </w:p>
        </w:tc>
      </w:tr>
      <w:tr>
        <w:trPr/>
        <w:tc>
          <w:tcPr>
            <w:tcW w:w="36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$0.001 par value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CARM</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875"/>
        <w:gridCol w:w="378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Entry into a Material Definitive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2025, Carisma Therapeutics Inc., a Delaware corporation (“Carisma”), entered into an Agreement and Plan of Merger (the “Merger Agreement”), by and among Carisma, Azalea Merger Sub, Inc., a Delaware corporation and a wholly owned subsidiary of Carisma (“Merger Sub”), Ocugen, Inc. (“Ocugen), a Delaware corporation, and OrthoCellix, Inc. (“OrthoCellix”), a Delaware corporation and wholly-owned subsidiary of Ocugen, pursuant to which, among other matters, and subject to the satisfaction or waiver of the conditions set forth in the Merger Agreement, Merger Sub will merge with and into OrthoCellix (the “Merger”), with OrthoCellix continuing as a wholly owned subsidiary of Carisma and the surviving company of the Merger. The Merger is intended to qualify for federal income tax purposes as a tax-free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Merger (the “Effective Time”), each share of common stock, par value $0.00001 per share, of OrthoCellix (“OrthoCellix Common Stock”), issued and outstanding (other than shares of OrthoCellix Common Stock (a) held as treasury stock, (b) owned, directly or indirectly, by Carisma or Merger Sub immediately prior to the Effective Time or (c) as to which appraisal rights have been properly exercised in accordance with Delaware law) shall be converted into and become exchangeable for the right to receive a number of shares of common stock, par value $0.001 per share, of Carisma (“Carisma Common Stock”), based on a ratio calculated in accordance with the Merger Agreement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Exchange Ratio formula in the Merger Agreement, upon the closing of the Merger (the “Closing”), on a pro forma basis and based upon the number of shares of Carisma Common Stock expected to be issued in the Merger, Ocugen (as the sole stockholder of OrthoCellix) and investors in the Concurrent Investment (as defined below) will own approximately 90.0% of the combined company and pre-Merger Carisma stockholders will own approximately 10.0% of the combined company, assuming a $25.0 million Concurrent Investment (as defined below) (the “Concurrent Investment Amount”) in each case, on a fully-diluted basis. Under certain circumstances, as described below, the ownership percentages may be adjusted upward or downward based on the level of Carisma’s net cash at the Closing and the size of the anticipated Concurrent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assumes (a) a valuation for OrthoCellix of $135.0 million (less the amount, if any, by which the actual amount of the Concurrent Investment is less than $25.0 million), and (b) a valuation for Carisma of $15.0 million, which is subject to adjustment based on the amount by which Carisma’s net cash is greater than or less than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Carisma plans to seek the approval of its stockholders (a) at a special meeting to amend its restated certificate of incorporation, as amended, to effect a reverse stock split of then-outstanding shares of Carisma Common Stock (the “Reverse Stock Split”), at a reverse stock split ratio to be mutually agreed to by Carisma and OrthoCellix, and (b) at a separate special meeting to, among other things, (i) issue the shares of Carisma Common Stock issuable in connection with the Merger pursuant to the rules of The Nasdaq Stock Market LLC (“Nasdaq”), (ii) amend its restated certificate of incorporation, as amended to (A) change the name of Carisma to “OrthoCellix, Inc.” or such other name as determined by OrthoCellix, and (B) if needed, increase the number of shares of Carisma capital stock that Carisma is authorized to issue to a number mutually agreed between Carisma and OrthoCellix, and (iii) adopt new equity incentive plans (the “Equity Plan Proposals”) as described in the Merger Agreement (all such voting proposals in this paragraph, the “Carisma Voting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Carisma and OrthoCellix has agreed to customary representations, warranties and covenants in the Merger Agreement, including, among others, covenants relating to (a) obtaining the requisite approval of their respective stockholders, (b) non-solicitation of alternative acquisition proposals, (c) the conduct of their respective businesses during the period between the date of signing the Merger Agreement and the Closing, (d) Carisma maintaining the existing listing of the Carisma Common Stock on Nasdaq and causing the shares of Carisma Common Stock to be issued in connection with the Merger to be approved for listing on Nasdaq prior to the Closing and (e) Carisma filing with the U.S. Securities and Exchange Commission (the “SEC”) and causing to become effective a registration statement on Form S-4 to register the shares of Carisma Common Stock to be issued in connection with the Merger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Carisma will seek to enter into a series of transactions with certain third parties to monetize certain legacy assets in accordance with the limitations and requirements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 is subject to certain closing conditions, including, among other things, (a) approval by Carisma’s stockholders of the Carisma Voting Proposals, other than the Equity Plan Proposals, (b) approval by the requisite OrthoCellix stockholders of the adoption and approval of the Merger Agreement, the Merger and the transactions contemplated thereby, (c) Nasdaq’s approval of the listing of the shares of Carisma Common Stock to be issued in connection with the Merger, (d) the effectiveness of the Registration Statement, (e) Carisma’s net cash at Closing being at least negative $1,000,000, (f) the Lock-Up Agreement (as defined below) continuing to be in full force and effect as of immediately following the Effective Time and (g) the absence of any orders or injunctions by any governmental entity that would prohibit consummation of the Merger. Each party’s obligation to consummate the Merger is also subject to other specified customary conditions, including regarding the accuracy of the representations and warranties of the other party, subject to applicable materiality standards, and the performance in all material respects by the other party of its obligations under the Merger Agreement required to be performed on or prior to the date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of each of Carisma and OrthoCellix. Upon termination of the Merger Agreement under specified circumstances, Carisma may be required to pay OrthoCellix a termination fee of $500,000. Upon termination of the Merger Agreement upon specified circumstances, including in the event that OrthoCellix fails to secure the commitments equal to or in excess of the Concurrent Investment Amount by or before September 15, 2025, OrthoCellix may be required to pay Carisma a termination fee of $750,000 and reimburse up to $500,000 of Carisma’s fees and expenses incurred in connection with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board of directors of the combined company is expected to consist of six members, five of whom will be designated by OrthoCellix and one of whom will be designated by Carisma.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Value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Effective Time, Carisma will enter into a Contingent Value Rights Agreement (the “CVR Agreement”) with a rights agent (the “Rights Agent”) pursuant to which pre-Merger Carisma common stockholders, subject to the terms and conditions set forth in the CVR Agreement will receive one contingent value right (each, a “CVR”) for each outstanding share of Carisma Common Stock held by such stockholder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CVR will represent the contractual right to receive a contingent cash payment equal to (i) the Net Proceeds (as defined in the CVR Agreement) received by Carisma to the extent such payment related to the disposition of any legacy asset of Carisma during the period beginning on the execution date of the Merger Agreement and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anniversary of the Closing, if any, plus (ii) the Net Proceeds received by Carisma to the extent such payment related to any royalties, milestones or other payments received by Carisma following the Closing under certain of Carisma’s existing agreements, including its collaboration and license agreement with ModernaTX, Inc., in each case subject to adjustment based on the terms and conditions set forth in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Carisma or any of its affiliates. No interest will accrue on any amounts payable in respect of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Concurrent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Carisma and OrthoCellix have agreed to use commercially reasonable efforts to enter into subscription agreements with one or more investors designated by OrthoCellix (the “Investors”), pursuant to which the Investors would agree to purchase shares of Carisma Common Stock for aggregate gross proceeds (inclusive of the Guarantor Investment Amount (as defined below)) at least equal to the Concurrent Investment Amount, which investment (the “Investor Investment”) is expected to be consummated at or immediately following the Closing. On or before August 1, 2025, Ocugen shall enter into a securities purchase agreement with Carisma, pursuant to which Ocugen will commit to purchase (the “Guarantor Investment”, and together with the Investor Investment, the “Concurrent Investment”), at or immediately following the Closing, shares of Carisma Common Stock for aggregate gross proceeds equal to not less than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Support Agreements and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Merger Agreement, (a) the sole stockholder of OrthoCellix (solely in its capacity as the stockholder of OrthoCellix) holding 100% of the outstanding shares of OrthoCellix capital stock entered into a support agreement with Carisma and OrthoCellix to vote all of their shares of OrthoCellix capital stock in favor of the adoption and approval of the Merger Agreement and the transactions contemplated thereby (the “OrthoCellix Support Agreement”) and (b) certain executive officers and directors of Carisma have entered into support agreements with Carisma and OrthoCellix to vote all of their shares of Carisma Common Stock in favor of the Carisma Voting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Merger Agreement, Ocugen, as the sole stockholder of OrthoCellix, has entered into a lock-up agreement (the “Lock-Up Agreement”) pursuant to which, and subject to specified exceptions, they have agreed not to transfer their shares of Carisma Common Stock for the 180-day period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summaries of the Merger Agreement, the CVR Agreement, the Support Agreements and the Lock-Up Agreement do not purport to be complete and are qualified in their entirety by reference to the Merger Agreement, the form of CVR Agreement, the form of Carisma Support Agreement, the form of OrthoCellix Support Agreement and the form of Lock-Up Agreement, which are filed as Exhibits 2.1, 10.1, 10.2, 10.3 and 10.4,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Carisma or OrthoCellix or to modify or supplement any factual disclosures about Carisma in Carisma’s public reports filed with the SEC. The Merger Agreement includes representations, warranties and covenants of Carisma, OrthoCellix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Carisma, OrthoCellix or any of their respective affiliates. Moreover, certain of those representations and warranties may not be accurate or complete as of any specified date, may be modified in important part by the underlying disclosure schedules which are not filed publicly, may be subject to a contractual standard of materiality different from those generally applicable to SEC filings or may have been used for purposes of allocating risk among the parties to the Merger Agreement, rather than establishing matters of fact.</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875"/>
        <w:gridCol w:w="2285"/>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7.01.</w:t>
            </w:r>
          </w:p>
        </w:tc>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Regulation FD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Carisma and OrthoCellix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and Exhibit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communication, other than purely historical information, may constitute “forward-looking statements” within the meaning of the federal securities laws, including for purposes of the “safe harbor” provisions under the Private Securities Litigation Reform Act of 1995, concerning Carisma, OrthoCellix, the proposed financing and the proposed Merger between Carisma and OrthoCellix (collectively, the “Proposed Transactions”) and other matters. These forward-looking statements include, but are not limited to, express or implied statements relating to Carisma’s and OrthoCellix’s management teams’ expectations, hopes, beliefs, intentions or strategies regarding the future including, without limitation, statements regarding: the structure, timing and completion of the proposed Merger between Carisma and OrthoCellix; the Proposed Transactions and the expected effects, perceived benefits or opportunities of the Proposed Transactions; the combined company’s listing on Nasdaq after the closing of the Proposed Transactions; expectations regarding the structure, timing and completion of the Concurrent Investment, including investment amounts from investors, timing of closing of the Proposed Transactions, expected proceeds, expectations regarding the use of proceeds, and impact on ownership structure; the anticipated timing of the closing; the expected executive officers and directors of the combined company; each company’s and the combined company’s expected cash position at the closing and cash runway of the combined company following the proposed Merger and any Concurrent Investment; the future operations of the combined company, including research and development activities; the nature, strategy and focus of the combined company; the development and commercial potential and potential benefits of any product candidates of the combined company, including expectations around market exclusivity and intellectual property protection; anticipated clinical drug development activities and related timelines, including the expected timing for announcement of data and other clinical results; expectations regarding or plans for discovery, preclinical studies, clinical trials and research and development programs, in particular with respect to OrthoCellix’s NeoCart® technology, and any developments or results in connection therewith, including the target product profile of NeoCart®; the anticipated timing of the commencement of and results from those studies and trials; the sufficiency of post-transaction resources to support the advancement of OrthoCellix’s pipeline through certain milestones and the time period over which OrthoCellix’s post-transaction capital resources will be sufficient to fund its anticipated operations; the cash balance of the combined entity at closing; expectations related to the anticipated timing of the closing of the Proposed Transactions; the expectations regarding the ownership structure of the combined company; the expected trading of the combined company’s stock on Nasdaq under the ticker symbol “OCLX” after the Closing; and other statements that are not historical fact. All statements other than statements of historical fact contained in this communication are forward-looking statements. In addition, any statements that refer to projections, forecasts or other characterizations of future events or circumstances, including any underlying assumptions, are forward-looking statements.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These forward-looking statements are made based on current expectations, estimates, forecasts, and projections, as well as the beliefs and assumptions of management, concerning future developments and their potential effects. There can be no assurance that future developments affecting Carisma, OrthoCellix, or the Proposed Transactions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a number of risks and uncertainties, some of which are beyond Carisma’s or OrthoCellix’s control, or other assumptions that may cause actual results or performance to be materially different from those expressed or implied by these forward-looking statements. These risks and uncertainties include, but are not limited to, the risk that the conditions to the Closing or consummation of the Proposed Transactions are not satisfied, including the failure to timely obtain approval of (a) the proposed Reverse Stock Split from Carisma’s stockholders and (b) the proposed Merger from both Carisma’s and OrthoCellix’s stockholders, if at all; the risk that the proposed Concurrent Investment is not completed in a timely manner, if at all; uncertainties as to the timing of the consummation of the Proposed Transactions and the ability of each of Carisma and OrthoCellix to consummate the Proposed Transactions; risks related to Carisma’s continued listing on Nasdaq until closing of the Proposed Transactions and the combined company’s ability to remain listed following the Closing; risks related to Carisma’s and OrthoCellix’s ability to correctly estimate their respective operating expenses and their respective expenses associated with the Proposed Transactions, as applicable, pending the Closing, as well as uncertainties regarding the impact any delay in the Closing would have on the anticipated cash resources of the combined company, and other events and unanticipated spending and costs that could reduce the combined company’s cash resources; risks related to the failure or delay in obtaining required approvals from any governmental or quasi-governmental entity necessary to consummate the Proposed Transactions; the occurrence of any event, change or other circumstance or condition that could give rise to the termination of the Merger Agreement; the effect of the announcement or pendency of the Merger on Carisma’s or OrthoCellix’s business relationships, operating results and business generally; costs related to the Merger; the risk that as a result of adjustments to the exchange ratio, OrthoCellix stockholders and Carisma stockholders could own more or less of the combined company than is currently anticipated; risks related to the market price of Carisma’s common stock relative to the value suggested by the exchange ratio; the uncertainties associated with OrthoCellix’s NeoCart® portfolio, as well as risks associated with the clinical development and regulatory approval of product candidates, including potential delays in the completion of clinical trials; risks related to the inability of the combined company to obtain sufficient additional capital to continue to advance these product candidates; uncertainties in obtaining successful clinical results for product candidates and unexpected costs that may result therefrom; risks related to the failure to realize any value from product candidates being developed and anticipated to be developed in light of inherent risks and difficulties involved in successfully bringing product candidates to market; the outcome of any legal proceedings that may be instituted against Carisma, OrthoCellix or any of their respective directors or officers related to the Proposed Transactions; the ability of Carisma and OrthoCellix to obtain, maintain, and protect their respective intellectual property rights; competitive responses to the Proposed Transactions; costs of the Proposed Transactions and unexpected costs, charges or expenses resulting from the Proposed Transactions; potential adverse reactions or changes to business relationships, operating results, and business generally, resulting from the announcement or completion of the Proposed Transactions; changes in regulatory requirements and government incentives; risks associated with the possible failure to realize, or that it may take longer to realize than expected, certain anticipated benefits of the Proposed Transactions, including with respect to future financial and operating results, legislative, regulatory, political and economic developments, and those uncertainties and factors; and the risk of involvement in litigation, including securities class action litigation, that could divert the attention of the management of Carisma or the combined company, harm the combined company’s business and may not be sufficient for insurance coverage to cover all costs and damages,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Carisma’s Annual Report on Form 10-K for the year ended December 31, 2024, which was originally filed with the SEC on March 31, 2025, as amended by Amendment No. 1 to the Annual Report on Form 10-K/A, which was filed with the SEC on April 29, 2025, subsequent Quarterly Reports on Form 10-Q filed with the SEC, and in other filings that Carisma makes and will make with the SEC in connection with the Proposed Transactions, including the Form S-4 and Proxy Statement described below under “Additional Information and Where to Find It”, as well as discussions of potential risks, uncertainties, and other important factors included in other filings by Carisma from time to time, any risk factors related to Carisma or OrthoCellix made available to you in connection with the Proposed Transactions, as well as risk factors associated with companies, such as OrthoCellix, that operate in the biopharma industry. Should one or more of these risks or uncertainties materialize, or should any of Carisma’s or OrthoCellix’s assumptions prove incorrect, actual results may vary in material respects from those projected in these forward-looking statements.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Neither Carisma nor OrthoCellix undertakes or accepts any duty to release publicly any updates or revisions to any forward-looking statements contained herein to reflect any change in its expectations with regard thereto or any change in events, conditions or circumstances on which any such statements are based, except as required by law. This communication does not purport to summarize all of the conditions, risks and other attributes of an investment in Carisma or OrthoCellix.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and the information contained herein is not intended to and does not constitute a solicitation of a proxy, consent or approval with respect to any securities or in respect of the Proposed Transactions or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offering of securities shall be made except by means of a prospectus meeting the requirements of Section 10 of the Securities Act, and otherwise in accordance with applicable law,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COMMUNICATION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Transactions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Merger involving Carisma and OrthoCellix and may be deemed to be solicitation material in respect of the proposed Merger. In connection with the Proposed Transactions, Carisma intends to file relevant materials with the SEC, including a registration statement on Form S-4 (the “Form S-4”) that will contain a proxy statement (the “Proxy Statement”) and prospectus. This communication is not a substitute for the Form S-4, the Proxy Statement or for any other document that Carisma may file with the SEC and/or send to Carisma’s stockholders in connection with the proposed Merger. CARISMA URGES, BEFORE MAKING ANY VOTING DECISION, INVESTORS AND STOCKHOLDERS TO READ THE FORM S-4, THE PROXY STATEMENT AND ANY OTHER RELEVANT DOCUMENTS THAT MAY BE FILED WITH THE SEC, AS WELL AS ANY AMENDMENTS OR SUPPLEMENTS TO THESE DOCUMENTS, CAREFULLY AND IN THEIR ENTIRETY IF AND WHEN THEY BECOME AVAILABLE BECAUSE THEY WILL CONTAIN IMPORTANT INFORMATION ABOUT CARISMA, ORTHOCELLIX, THE PROPOSED TRANSACTIONS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and stockholders will be able to obtain free copies of the Form S-4, the Proxy Statement and other documents filed by Carisma with the SEC (when they become available)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Copies of the documents filed by Carisma with the SEC will also be available free of charge on Carisma’s website at </w:t>
      </w:r>
      <w:r>
        <w:rPr>
          <w:rFonts w:ascii="Times New Roman;Times;Serif" w:hAnsi="Times New Roman;Times;Serif"/>
          <w:b w:val="false"/>
          <w:i/>
          <w:caps w:val="false"/>
          <w:smallCaps w:val="false"/>
          <w:sz w:val="20"/>
        </w:rPr>
        <w:t>www.carismatx.com</w:t>
      </w:r>
      <w:r>
        <w:rPr>
          <w:rFonts w:ascii="Times New Roman;Times;Serif" w:hAnsi="Times New Roman;Times;Serif"/>
          <w:b w:val="false"/>
          <w:i w:val="false"/>
          <w:caps w:val="false"/>
          <w:smallCaps w:val="false"/>
          <w:sz w:val="20"/>
        </w:rPr>
        <w:t>, or by contacting Carisma’s Investor Relations at investors@Carismatx.com. In addition, investors and stockholders should note that Carisma communicates with investors and the public using its website at https://ir.Carismatx.com/.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Carisma, OrthoCellix, and their respective directors and certain of their executive officers and other members of management may be deemed to be participants in the solicitation of proxies from Carisma’s stockholders in connection with the Proposed Transactions under the rules of the SEC. Information about Carisma’s directors and executive officers, including a description of their interests in Carisma, is included in Carisma’s most recent Annual Report on Form 10-K for the year ended December 31, 2024, which was filed with the SEC on March 31, 2025, as amended by Amendment No. 1 to the Annual Report on Form 10-K, which was filed with the SEC on April 29, 2025. Additional information regarding the persons who may be deemed participants in the proxy solicitations, including about the directors and executive officers of OrthoCellix, and a description of their direct and indirect interests, by security holdings or otherwise, will also be included in the Form S-4, the Proxy Statement and other relevant materials to be filed with the SEC when they become available.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875"/>
        <w:gridCol w:w="300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518620d2_ex2-1.htm">
              <w:r>
                <w:rPr>
                  <w:rStyle w:val="InternetLink"/>
                  <w:rFonts w:ascii="Times New Roman;Times;Serif" w:hAnsi="Times New Roman;Times;Serif"/>
                  <w:sz w:val="20"/>
                </w:rPr>
                <w:t>2.1*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both"/>
              <w:rPr/>
            </w:pPr>
            <w:hyperlink w:anchor="tm2518620d2_ex2-1.htm">
              <w:r>
                <w:rPr>
                  <w:rStyle w:val="InternetLink"/>
                  <w:rFonts w:ascii="Times New Roman;Times;Serif" w:hAnsi="Times New Roman;Times;Serif"/>
                  <w:sz w:val="20"/>
                </w:rPr>
                <w:t>Agreement and Plan of Merger, dated as of June 22, 2025, by and among Carisma Therapeutics Inc., OrthoCellix, Inc., Azalea Merger Sub, Inc. and Ocugen, Inc.</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518620d2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518620d2_ex10-1.htm">
              <w:r>
                <w:rPr>
                  <w:rStyle w:val="InternetLink"/>
                  <w:rFonts w:ascii="Times New Roman;Times;Serif" w:hAnsi="Times New Roman;Times;Serif"/>
                  <w:sz w:val="20"/>
                </w:rPr>
                <w:t xml:space="preserve">Form of Contingent Value Rights Agreement </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518620d2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518620d2_ex10-2.htm">
              <w:r>
                <w:rPr>
                  <w:rStyle w:val="InternetLink"/>
                  <w:rFonts w:ascii="Times New Roman;Times;Serif" w:hAnsi="Times New Roman;Times;Serif"/>
                  <w:sz w:val="20"/>
                </w:rPr>
                <w:t xml:space="preserve">Form of Carisma Support Agreement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518620d2_ex10-3.htm">
              <w:r>
                <w:rPr>
                  <w:rStyle w:val="InternetLink"/>
                  <w:rFonts w:ascii="Times New Roman;Times;Serif" w:hAnsi="Times New Roman;Times;Serif"/>
                  <w:sz w:val="20"/>
                </w:rPr>
                <w:t>10.3</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518620d2_ex10-3.htm">
              <w:r>
                <w:rPr>
                  <w:rStyle w:val="InternetLink"/>
                  <w:rFonts w:ascii="Times New Roman;Times;Serif" w:hAnsi="Times New Roman;Times;Serif"/>
                  <w:sz w:val="20"/>
                </w:rPr>
                <w:t xml:space="preserve">Form of OrthoCellix Support Agreement </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518620d2_ex10-4.htm">
              <w:r>
                <w:rPr>
                  <w:rStyle w:val="InternetLink"/>
                  <w:rFonts w:ascii="Times New Roman;Times;Serif" w:hAnsi="Times New Roman;Times;Serif"/>
                  <w:sz w:val="20"/>
                </w:rPr>
                <w:t>10.4</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518620d2_ex10-4.htm">
              <w:r>
                <w:rPr>
                  <w:rStyle w:val="InternetLink"/>
                  <w:rFonts w:ascii="Times New Roman;Times;Serif" w:hAnsi="Times New Roman;Times;Serif"/>
                  <w:sz w:val="20"/>
                </w:rPr>
                <w:t xml:space="preserve">Form of Lock-Up Agreement </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518620d2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518620d2_ex99-1.htm">
              <w:r>
                <w:rPr>
                  <w:rStyle w:val="InternetLink"/>
                  <w:rFonts w:ascii="Times New Roman;Times;Serif" w:hAnsi="Times New Roman;Times;Serif"/>
                  <w:sz w:val="20"/>
                </w:rPr>
                <w:t>Joint Press Release, issued on June 23, 2025</w:t>
              </w:r>
            </w:hyperlink>
          </w:p>
        </w:tc>
      </w:tr>
      <w:tr>
        <w:trPr/>
        <w:tc>
          <w:tcPr>
            <w:tcW w:w="725" w:type="dxa"/>
            <w:tcBorders/>
            <w:vAlign w:val="center"/>
          </w:tcPr>
          <w:p>
            <w:pPr>
              <w:pStyle w:val="TableContents"/>
              <w:bidi w:val="0"/>
              <w:spacing w:before="0" w:after="283"/>
              <w:jc w:val="left"/>
              <w:rPr/>
            </w:pPr>
            <w:r>
              <w:rPr/>
              <w:t> </w:t>
            </w:r>
          </w:p>
        </w:tc>
        <w:tc>
          <w:tcPr>
            <w:tcW w:w="9480"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655"/>
        <w:gridCol w:w="320"/>
        <w:gridCol w:w="3095"/>
      </w:tblGrid>
      <w:tr>
        <w:trPr/>
        <w:tc>
          <w:tcPr>
            <w:tcW w:w="165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CARISMA THERAPEUTICS INC.</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pPr>
            <w:r>
              <w:rPr/>
              <w:t>/s/ Steven Kelly</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23, 2025</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Kelly</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 w:name="tm2518620d2_ex2-1.htm"/>
      <w:bookmarkStart w:id="3" w:name="kstm2518620d2_ex21"/>
      <w:bookmarkEnd w:id="2"/>
      <w:bookmarkEnd w:id="3"/>
      <w:r>
        <w:rPr/>
        <w:t> </w:t>
      </w:r>
      <w:r>
        <w:br w:type="page"/>
      </w:r>
    </w:p>
    <w:p>
      <w:pPr>
        <w:pStyle w:val="TextBody"/>
        <w:bidi w:val="0"/>
        <w:jc w:val="right"/>
        <w:rPr>
          <w:b/>
        </w:rPr>
      </w:pPr>
      <w:r>
        <w:rPr>
          <w:b/>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CARISMA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AZALEA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ORTHOCELLIX,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22, 2025</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
        <w:gridCol w:w="2033"/>
        <w:gridCol w:w="7802"/>
        <w:gridCol w:w="246"/>
      </w:tblGrid>
      <w:tr>
        <w:trPr/>
        <w:tc>
          <w:tcPr>
            <w:tcW w:w="99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 &amp; INTERPRETATIONS</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w:t>
            </w:r>
          </w:p>
        </w:tc>
      </w:tr>
      <w:tr>
        <w:trPr/>
        <w:tc>
          <w:tcPr>
            <w:tcW w:w="9959" w:type="dxa"/>
            <w:gridSpan w:val="3"/>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        </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pPr>
            <w:r>
              <w:rPr/>
              <w:t> </w:t>
            </w:r>
          </w:p>
        </w:tc>
        <w:tc>
          <w:tcPr>
            <w:tcW w:w="780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THE MERGER</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11</w:t>
            </w:r>
          </w:p>
        </w:tc>
      </w:tr>
      <w:tr>
        <w:trPr/>
        <w:tc>
          <w:tcPr>
            <w:tcW w:w="9959" w:type="dxa"/>
            <w:gridSpan w:val="3"/>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Formation of Merger Sub</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Governance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Company and Surviving Company Governance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pPr>
            <w:r>
              <w:rPr/>
              <w:t> </w:t>
            </w:r>
          </w:p>
        </w:tc>
        <w:tc>
          <w:tcPr>
            <w:tcW w:w="780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III EFFECT ON THE CAPITAL STOCK OF THE CONSTITUENT COMPANIES; EXCHANGE OF CERTIFICATES</w:t>
            </w:r>
          </w:p>
        </w:tc>
        <w:tc>
          <w:tcPr>
            <w:tcW w:w="246"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13</w:t>
            </w:r>
          </w:p>
        </w:tc>
      </w:tr>
      <w:tr>
        <w:trPr/>
        <w:tc>
          <w:tcPr>
            <w:tcW w:w="9959" w:type="dxa"/>
            <w:gridSpan w:val="3"/>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Capital Stock</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and Payment</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Rights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Dissenters Rights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of Net Cash</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Value Right</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pPr>
            <w:r>
              <w:rPr/>
              <w:t> </w:t>
            </w:r>
          </w:p>
        </w:tc>
        <w:tc>
          <w:tcPr>
            <w:tcW w:w="780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99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IV REPRESENTATIONS AND WARRANTIES OF THE COMPANY</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9959" w:type="dxa"/>
            <w:gridSpan w:val="3"/>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Standing and Power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Stock</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 Consents and Approvals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 or Events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Health Care Regulatory Matters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Plans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4" w:type="dxa"/>
            <w:tcBorders/>
            <w:vAlign w:val="center"/>
          </w:tcPr>
          <w:p>
            <w:pPr>
              <w:pStyle w:val="TableContents"/>
              <w:bidi w:val="0"/>
              <w:spacing w:before="0" w:after="283"/>
              <w:jc w:val="left"/>
              <w:rPr/>
            </w:pPr>
            <w:r>
              <w:rPr/>
              <w:t> </w:t>
            </w:r>
          </w:p>
        </w:tc>
        <w:tc>
          <w:tcPr>
            <w:tcW w:w="2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7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and Employment Matters</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89" w:type="dxa"/>
        <w:jc w:val="left"/>
        <w:tblInd w:w="0" w:type="dxa"/>
        <w:tblLayout w:type="fixed"/>
        <w:tblCellMar>
          <w:top w:w="0" w:type="dxa"/>
          <w:left w:w="0" w:type="dxa"/>
          <w:bottom w:w="0" w:type="dxa"/>
          <w:right w:w="0" w:type="dxa"/>
        </w:tblCellMar>
      </w:tblPr>
      <w:tblGrid>
        <w:gridCol w:w="124"/>
        <w:gridCol w:w="1728"/>
        <w:gridCol w:w="5592"/>
        <w:gridCol w:w="245"/>
      </w:tblGrid>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Takeover Statutes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Rights Plan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4.22</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4.23</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Control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4.25</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4.26</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pPr>
            <w:r>
              <w:rPr/>
              <w:t> </w:t>
            </w:r>
          </w:p>
        </w:tc>
        <w:tc>
          <w:tcPr>
            <w:tcW w:w="559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444"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REPRESENTATIONS AND WARRANTIES OF PARENT AND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7444"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Standing and Power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 Consents and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Reports;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 or Events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Health Care Regulatory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and Employment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5.21</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5.22</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Control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5.23</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5.24</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5.25</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Takeover Statutes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5.26</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pPr>
            <w:r>
              <w:rPr/>
              <w:t> </w:t>
            </w:r>
          </w:p>
        </w:tc>
        <w:tc>
          <w:tcPr>
            <w:tcW w:w="559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444"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7444"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4"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5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Parent’s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35" w:type="dxa"/>
        <w:jc w:val="left"/>
        <w:tblInd w:w="0" w:type="dxa"/>
        <w:tblLayout w:type="fixed"/>
        <w:tblCellMar>
          <w:top w:w="0" w:type="dxa"/>
          <w:left w:w="0" w:type="dxa"/>
          <w:bottom w:w="0" w:type="dxa"/>
          <w:right w:w="0" w:type="dxa"/>
        </w:tblCellMar>
      </w:tblPr>
      <w:tblGrid>
        <w:gridCol w:w="75"/>
        <w:gridCol w:w="1040"/>
        <w:gridCol w:w="4775"/>
        <w:gridCol w:w="24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Company’s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Certain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ESPP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401(K) Plan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90"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 ADDITIONAL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5890"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Proxy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Approval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Stockholders’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Transaction 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Exculpation and 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Concurrent Investment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7.15</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Equity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7.16</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SEC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7.17</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Legacy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7.18</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Arrangements Between Company and Company Guarantor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90"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VIII CLOSING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890"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of each Party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Obligation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of Parent and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90"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TERMINATION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91</w:t>
            </w:r>
          </w:p>
        </w:tc>
      </w:tr>
      <w:tr>
        <w:trPr/>
        <w:tc>
          <w:tcPr>
            <w:tcW w:w="5890"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90"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 GENERAL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890" w:type="dxa"/>
            <w:gridSpan w:val="3"/>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Non-survival of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or Supplement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iv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24" w:type="dxa"/>
        <w:jc w:val="left"/>
        <w:tblInd w:w="0" w:type="dxa"/>
        <w:tblLayout w:type="fixed"/>
        <w:tblCellMar>
          <w:top w:w="0" w:type="dxa"/>
          <w:left w:w="0" w:type="dxa"/>
          <w:bottom w:w="0" w:type="dxa"/>
          <w:right w:w="0" w:type="dxa"/>
        </w:tblCellMar>
      </w:tblPr>
      <w:tblGrid>
        <w:gridCol w:w="76"/>
        <w:gridCol w:w="1163"/>
        <w:gridCol w:w="3235"/>
        <w:gridCol w:w="350"/>
      </w:tblGrid>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 Party Beneficiaries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Jurisdiction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Successors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 or .pdf Signature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Presumption Against Drafting Party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7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rFonts w:ascii="Times New Roman;Times;Serif" w:hAnsi="Times New Roman;Times;Serif"/>
                <w:sz w:val="20"/>
              </w:rPr>
              <w:t>Exhibit A</w:t>
            </w:r>
            <w:r>
              <w:rPr/>
              <w:t xml:space="preserve">            </w:t>
            </w:r>
            <w:r>
              <w:rPr>
                <w:rFonts w:ascii="Times New Roman;Times;Serif" w:hAnsi="Times New Roman;Times;Serif"/>
                <w:sz w:val="20"/>
              </w:rPr>
              <w:t>Form of Parent Support Agreement</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rFonts w:ascii="Times New Roman;Times;Serif" w:hAnsi="Times New Roman;Times;Serif"/>
                <w:sz w:val="20"/>
              </w:rPr>
              <w:t>Exhibit B</w:t>
            </w:r>
            <w:r>
              <w:rPr/>
              <w:t xml:space="preserve">            </w:t>
            </w:r>
            <w:r>
              <w:rPr>
                <w:rFonts w:ascii="Times New Roman;Times;Serif" w:hAnsi="Times New Roman;Times;Serif"/>
                <w:sz w:val="20"/>
              </w:rPr>
              <w:t>Form of Company Support Agreement</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rFonts w:ascii="Times New Roman;Times;Serif" w:hAnsi="Times New Roman;Times;Serif"/>
                <w:sz w:val="20"/>
              </w:rPr>
              <w:t>Exhibit C</w:t>
            </w:r>
            <w:r>
              <w:rPr/>
              <w:t xml:space="preserve">            </w:t>
            </w:r>
            <w:r>
              <w:rPr>
                <w:rFonts w:ascii="Times New Roman;Times;Serif" w:hAnsi="Times New Roman;Times;Serif"/>
                <w:sz w:val="20"/>
              </w:rPr>
              <w:t>Form of Lock-Up Agreement</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rFonts w:ascii="Times New Roman;Times;Serif" w:hAnsi="Times New Roman;Times;Serif"/>
                <w:sz w:val="20"/>
              </w:rPr>
              <w:t>Exhibit D</w:t>
            </w:r>
            <w:r>
              <w:rPr/>
              <w:t xml:space="preserve">            </w:t>
            </w:r>
            <w:r>
              <w:rPr>
                <w:rFonts w:ascii="Times New Roman;Times;Serif" w:hAnsi="Times New Roman;Times;Serif"/>
                <w:sz w:val="20"/>
              </w:rPr>
              <w:t>Form of CVR Agreement</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rFonts w:ascii="Times New Roman;Times;Serif" w:hAnsi="Times New Roman;Times;Serif"/>
                <w:sz w:val="20"/>
              </w:rPr>
              <w:t>Schedule 1.1(a)</w:t>
            </w:r>
            <w:r>
              <w:rPr/>
              <w:t xml:space="preserve"> </w:t>
            </w:r>
            <w:r>
              <w:rPr>
                <w:rFonts w:ascii="Times New Roman;Times;Serif" w:hAnsi="Times New Roman;Times;Serif"/>
                <w:sz w:val="20"/>
              </w:rPr>
              <w:t>Parent Net Cash Schedule</w:t>
            </w:r>
          </w:p>
        </w:tc>
        <w:tc>
          <w:tcPr>
            <w:tcW w:w="350" w:type="dxa"/>
            <w:tcBorders/>
            <w:vAlign w:val="center"/>
          </w:tcPr>
          <w:p>
            <w:pPr>
              <w:pStyle w:val="TableContents"/>
              <w:bidi w:val="0"/>
              <w:spacing w:before="0" w:after="283"/>
              <w:jc w:val="right"/>
              <w:rPr/>
            </w:pPr>
            <w:r>
              <w:rPr/>
              <w:t> </w:t>
            </w:r>
          </w:p>
        </w:tc>
      </w:tr>
      <w:tr>
        <w:trPr/>
        <w:tc>
          <w:tcPr>
            <w:tcW w:w="4474" w:type="dxa"/>
            <w:gridSpan w:val="3"/>
            <w:tcBorders/>
            <w:vAlign w:val="center"/>
          </w:tcPr>
          <w:p>
            <w:pPr>
              <w:pStyle w:val="TableContents"/>
              <w:bidi w:val="0"/>
              <w:spacing w:before="0" w:after="283"/>
              <w:jc w:val="left"/>
              <w:rPr/>
            </w:pPr>
            <w:r>
              <w:rPr>
                <w:rFonts w:ascii="Times New Roman;Times;Serif" w:hAnsi="Times New Roman;Times;Serif"/>
                <w:sz w:val="20"/>
              </w:rPr>
              <w:t>Schedule 2.6(c)</w:t>
            </w:r>
            <w:r>
              <w:rPr/>
              <w:t xml:space="preserve"> </w:t>
            </w:r>
            <w:r>
              <w:rPr>
                <w:rFonts w:ascii="Times New Roman;Times;Serif" w:hAnsi="Times New Roman;Times;Serif"/>
                <w:sz w:val="20"/>
              </w:rPr>
              <w:t>Board of Directors</w:t>
            </w:r>
          </w:p>
        </w:tc>
        <w:tc>
          <w:tcPr>
            <w:tcW w:w="35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4235"/>
        <w:gridCol w:w="1925"/>
      </w:tblGrid>
      <w:tr>
        <w:trPr/>
        <w:tc>
          <w:tcPr>
            <w:tcW w:w="423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Definition</w:t>
            </w:r>
          </w:p>
        </w:tc>
        <w:tc>
          <w:tcPr>
            <w:tcW w:w="1925" w:type="dxa"/>
            <w:tcBorders/>
            <w:vAlign w:val="center"/>
          </w:tcPr>
          <w:p>
            <w:pPr>
              <w:pStyle w:val="TableContents"/>
              <w:bidi w:val="0"/>
              <w:spacing w:before="0" w:after="283"/>
              <w:jc w:val="left"/>
              <w:rPr>
                <w:u w:val="single"/>
              </w:rPr>
            </w:pPr>
            <w:r>
              <w:rPr>
                <w:u w:val="single"/>
              </w:rPr>
              <w:t>Location</w:t>
            </w:r>
          </w:p>
        </w:tc>
      </w:tr>
      <w:tr>
        <w:trPr/>
        <w:tc>
          <w:tcPr>
            <w:tcW w:w="423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2014 Stock Incentive Plan</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2017 Stock Incentive Plan</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2025 Equity Incentive Plan</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2025 ESPP</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2025 Plans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pPr>
            <w:r>
              <w:rPr/>
              <w:t>AAA  </w:t>
            </w:r>
          </w:p>
        </w:tc>
        <w:tc>
          <w:tcPr>
            <w:tcW w:w="1925" w:type="dxa"/>
            <w:tcBorders/>
            <w:vAlign w:val="center"/>
          </w:tcPr>
          <w:p>
            <w:pPr>
              <w:pStyle w:val="TableContents"/>
              <w:bidi w:val="0"/>
              <w:spacing w:before="0" w:after="283"/>
              <w:jc w:val="left"/>
              <w:rPr/>
            </w:pPr>
            <w:r>
              <w:rPr/>
              <w:t>Section 3.6(e)</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Acceptable Confidentiality Agreement</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Firm</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3.6(e)</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Inquiry</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Proposal</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Transaction</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pPr>
            <w:r>
              <w:rPr/>
              <w:t>Action  </w:t>
            </w:r>
          </w:p>
        </w:tc>
        <w:tc>
          <w:tcPr>
            <w:tcW w:w="1925" w:type="dxa"/>
            <w:tcBorders/>
            <w:vAlign w:val="center"/>
          </w:tcPr>
          <w:p>
            <w:pPr>
              <w:pStyle w:val="TableContents"/>
              <w:bidi w:val="0"/>
              <w:spacing w:before="0" w:after="283"/>
              <w:jc w:val="left"/>
              <w:rPr/>
            </w:pPr>
            <w:r>
              <w:rPr/>
              <w:t>Section 4.9</w:t>
            </w:r>
          </w:p>
        </w:tc>
      </w:tr>
      <w:tr>
        <w:trPr/>
        <w:tc>
          <w:tcPr>
            <w:tcW w:w="4235" w:type="dxa"/>
            <w:tcBorders/>
            <w:vAlign w:val="center"/>
          </w:tcPr>
          <w:p>
            <w:pPr>
              <w:pStyle w:val="TableContents"/>
              <w:bidi w:val="0"/>
              <w:spacing w:before="0" w:after="283"/>
              <w:jc w:val="left"/>
              <w:rPr/>
            </w:pPr>
            <w:r>
              <w:rPr/>
              <w:t>Affiliate  </w:t>
            </w:r>
          </w:p>
        </w:tc>
        <w:tc>
          <w:tcPr>
            <w:tcW w:w="1925" w:type="dxa"/>
            <w:tcBorders/>
            <w:vAlign w:val="center"/>
          </w:tcPr>
          <w:p>
            <w:pPr>
              <w:pStyle w:val="TableContents"/>
              <w:bidi w:val="0"/>
              <w:spacing w:before="0" w:after="283"/>
              <w:jc w:val="left"/>
              <w:rPr/>
            </w:pPr>
            <w:r>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Valuation</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3.1(i)(A)</w:t>
            </w:r>
          </w:p>
        </w:tc>
      </w:tr>
      <w:tr>
        <w:trPr/>
        <w:tc>
          <w:tcPr>
            <w:tcW w:w="4235" w:type="dxa"/>
            <w:tcBorders/>
            <w:vAlign w:val="center"/>
          </w:tcPr>
          <w:p>
            <w:pPr>
              <w:pStyle w:val="TableContents"/>
              <w:bidi w:val="0"/>
              <w:spacing w:before="0" w:after="283"/>
              <w:jc w:val="left"/>
              <w:rPr/>
            </w:pPr>
            <w:r>
              <w:rPr/>
              <w:t>Agreement  </w:t>
            </w:r>
          </w:p>
        </w:tc>
        <w:tc>
          <w:tcPr>
            <w:tcW w:w="1925" w:type="dxa"/>
            <w:tcBorders/>
            <w:vAlign w:val="center"/>
          </w:tcPr>
          <w:p>
            <w:pPr>
              <w:pStyle w:val="TableContents"/>
              <w:bidi w:val="0"/>
              <w:spacing w:before="0" w:after="283"/>
              <w:jc w:val="left"/>
              <w:rPr/>
            </w:pPr>
            <w:r>
              <w:rPr/>
              <w:t>Preamble</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Certificate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Anticipated Meeting Date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Shares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3.3(b)</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Day</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Determination Time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Merger</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r>
      <w:tr>
        <w:trPr/>
        <w:tc>
          <w:tcPr>
            <w:tcW w:w="4235" w:type="dxa"/>
            <w:tcBorders/>
            <w:vAlign w:val="center"/>
          </w:tcPr>
          <w:p>
            <w:pPr>
              <w:pStyle w:val="TableContents"/>
              <w:bidi w:val="0"/>
              <w:spacing w:before="0" w:after="283"/>
              <w:jc w:val="left"/>
              <w:rPr/>
            </w:pPr>
            <w:r>
              <w:rPr/>
              <w:t>Certificates  </w:t>
            </w:r>
          </w:p>
        </w:tc>
        <w:tc>
          <w:tcPr>
            <w:tcW w:w="1925" w:type="dxa"/>
            <w:tcBorders/>
            <w:vAlign w:val="center"/>
          </w:tcPr>
          <w:p>
            <w:pPr>
              <w:pStyle w:val="TableContents"/>
              <w:bidi w:val="0"/>
              <w:spacing w:before="0" w:after="283"/>
              <w:jc w:val="left"/>
              <w:rPr/>
            </w:pPr>
            <w:r>
              <w:rPr/>
              <w:t>Section 3.3(b)</w:t>
            </w:r>
          </w:p>
        </w:tc>
      </w:tr>
      <w:tr>
        <w:trPr/>
        <w:tc>
          <w:tcPr>
            <w:tcW w:w="4235" w:type="dxa"/>
            <w:tcBorders/>
            <w:vAlign w:val="center"/>
          </w:tcPr>
          <w:p>
            <w:pPr>
              <w:pStyle w:val="TableContents"/>
              <w:bidi w:val="0"/>
              <w:spacing w:before="0" w:after="283"/>
              <w:jc w:val="left"/>
              <w:rPr/>
            </w:pPr>
            <w:r>
              <w:rPr/>
              <w:t>Closing  </w:t>
            </w:r>
          </w:p>
        </w:tc>
        <w:tc>
          <w:tcPr>
            <w:tcW w:w="1925" w:type="dxa"/>
            <w:tcBorders/>
            <w:vAlign w:val="center"/>
          </w:tcPr>
          <w:p>
            <w:pPr>
              <w:pStyle w:val="TableContents"/>
              <w:bidi w:val="0"/>
              <w:spacing w:before="0" w:after="283"/>
              <w:jc w:val="left"/>
              <w:rPr/>
            </w:pPr>
            <w:r>
              <w:rPr/>
              <w:t>Section 2.3</w:t>
            </w:r>
          </w:p>
        </w:tc>
      </w:tr>
      <w:tr>
        <w:trPr/>
        <w:tc>
          <w:tcPr>
            <w:tcW w:w="4235" w:type="dxa"/>
            <w:tcBorders/>
            <w:vAlign w:val="center"/>
          </w:tcPr>
          <w:p>
            <w:pPr>
              <w:pStyle w:val="TableContents"/>
              <w:bidi w:val="0"/>
              <w:spacing w:before="0" w:after="283"/>
              <w:jc w:val="left"/>
              <w:rPr/>
            </w:pPr>
            <w:r>
              <w:rPr/>
              <w:t>Code  </w:t>
            </w:r>
          </w:p>
        </w:tc>
        <w:tc>
          <w:tcPr>
            <w:tcW w:w="1925" w:type="dxa"/>
            <w:tcBorders/>
            <w:vAlign w:val="center"/>
          </w:tcPr>
          <w:p>
            <w:pPr>
              <w:pStyle w:val="TableContents"/>
              <w:bidi w:val="0"/>
              <w:spacing w:before="0" w:after="283"/>
              <w:jc w:val="left"/>
              <w:rPr/>
            </w:pPr>
            <w:r>
              <w:rPr/>
              <w:t>Recitals</w:t>
            </w:r>
          </w:p>
        </w:tc>
      </w:tr>
      <w:tr>
        <w:trPr/>
        <w:tc>
          <w:tcPr>
            <w:tcW w:w="4235" w:type="dxa"/>
            <w:tcBorders/>
            <w:vAlign w:val="center"/>
          </w:tcPr>
          <w:p>
            <w:pPr>
              <w:pStyle w:val="TableContents"/>
              <w:bidi w:val="0"/>
              <w:spacing w:before="0" w:after="283"/>
              <w:jc w:val="left"/>
              <w:rPr/>
            </w:pPr>
            <w:r>
              <w:rPr/>
              <w:t>Company  </w:t>
            </w:r>
          </w:p>
        </w:tc>
        <w:tc>
          <w:tcPr>
            <w:tcW w:w="1925" w:type="dxa"/>
            <w:tcBorders/>
            <w:vAlign w:val="center"/>
          </w:tcPr>
          <w:p>
            <w:pPr>
              <w:pStyle w:val="TableContents"/>
              <w:bidi w:val="0"/>
              <w:spacing w:before="0" w:after="283"/>
              <w:jc w:val="left"/>
              <w:rPr/>
            </w:pPr>
            <w:r>
              <w:rPr/>
              <w:t>Preamble, Preamble</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Allocation Percentage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3.1(i)(B)</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Audited Financial Statements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7.1(g)</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Adverse Recommendation Change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7.2(b)</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7.2(b)</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Bylaws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4.1(b)</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Charter</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4.1(b)</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Common Stock</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Letter</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Employee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Fundamental Representations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Interim Financial Statements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7.1(g)</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Merger Shares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3.1(i)(C)</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Notice Period</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7.2(c)</w:t>
            </w:r>
          </w:p>
        </w:tc>
      </w:tr>
      <w:tr>
        <w:trPr/>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Outstanding Shares</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3.1(i)(D)</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15" w:type="dxa"/>
        <w:jc w:val="left"/>
        <w:tblInd w:w="0" w:type="dxa"/>
        <w:tblLayout w:type="fixed"/>
        <w:tblCellMar>
          <w:top w:w="0" w:type="dxa"/>
          <w:left w:w="0" w:type="dxa"/>
          <w:bottom w:w="0" w:type="dxa"/>
          <w:right w:w="0" w:type="dxa"/>
        </w:tblCellMar>
      </w:tblPr>
      <w:tblGrid>
        <w:gridCol w:w="3380"/>
        <w:gridCol w:w="1535"/>
      </w:tblGrid>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Owned IP</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Plan</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Products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4.11(c)</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Registered IP</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4.19(a)</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Service Providers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4.12(b)</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Approval</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Support Agreements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Termination Fee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9.3(b)</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Triggering Event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Valuation</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3.1(i)(E)</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Concurrent Investment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Concurrent Investment Amount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Concurrent Investment Shares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3.1(i)(F)</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 Agreement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Contemplated Transactions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pPr>
            <w:r>
              <w:rPr/>
              <w:t>Contract  </w:t>
            </w:r>
          </w:p>
        </w:tc>
        <w:tc>
          <w:tcPr>
            <w:tcW w:w="1535" w:type="dxa"/>
            <w:tcBorders/>
            <w:vAlign w:val="center"/>
          </w:tcPr>
          <w:p>
            <w:pPr>
              <w:pStyle w:val="TableContents"/>
              <w:bidi w:val="0"/>
              <w:spacing w:before="0" w:after="283"/>
              <w:jc w:val="left"/>
              <w:rPr/>
            </w:pPr>
            <w:r>
              <w:rPr/>
              <w:t>Section 4.5(a)</w:t>
            </w:r>
          </w:p>
        </w:tc>
      </w:tr>
      <w:tr>
        <w:trPr/>
        <w:tc>
          <w:tcPr>
            <w:tcW w:w="3380" w:type="dxa"/>
            <w:tcBorders/>
            <w:vAlign w:val="center"/>
          </w:tcPr>
          <w:p>
            <w:pPr>
              <w:pStyle w:val="TableContents"/>
              <w:bidi w:val="0"/>
              <w:spacing w:before="0" w:after="283"/>
              <w:jc w:val="left"/>
              <w:rPr/>
            </w:pPr>
            <w:r>
              <w:rPr/>
              <w:t>control  </w:t>
            </w:r>
          </w:p>
        </w:tc>
        <w:tc>
          <w:tcPr>
            <w:tcW w:w="1535" w:type="dxa"/>
            <w:tcBorders/>
            <w:vAlign w:val="center"/>
          </w:tcPr>
          <w:p>
            <w:pPr>
              <w:pStyle w:val="TableContents"/>
              <w:bidi w:val="0"/>
              <w:spacing w:before="0" w:after="283"/>
              <w:jc w:val="left"/>
              <w:rPr/>
            </w:pPr>
            <w:r>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Offering Period</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Premium</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7.5(d)</w:t>
            </w:r>
          </w:p>
        </w:tc>
      </w:tr>
      <w:tr>
        <w:trPr/>
        <w:tc>
          <w:tcPr>
            <w:tcW w:w="3380" w:type="dxa"/>
            <w:tcBorders/>
            <w:vAlign w:val="center"/>
          </w:tcPr>
          <w:p>
            <w:pPr>
              <w:pStyle w:val="TableContents"/>
              <w:bidi w:val="0"/>
              <w:spacing w:before="0" w:after="283"/>
              <w:jc w:val="left"/>
              <w:rPr/>
            </w:pPr>
            <w:r>
              <w:rPr/>
              <w:t>CVR  </w:t>
            </w:r>
          </w:p>
        </w:tc>
        <w:tc>
          <w:tcPr>
            <w:tcW w:w="1535" w:type="dxa"/>
            <w:tcBorders/>
            <w:vAlign w:val="center"/>
          </w:tcPr>
          <w:p>
            <w:pPr>
              <w:pStyle w:val="TableContents"/>
              <w:bidi w:val="0"/>
              <w:spacing w:before="0" w:after="283"/>
              <w:jc w:val="left"/>
              <w:rPr/>
            </w:pPr>
            <w:r>
              <w:rPr/>
              <w:t>Section 3.7(a)</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CVR Agreement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3.7(a)</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Indemnified Parties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7.5(a)</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Data Processors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4.19(h)</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 Secretary of State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Date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3380" w:type="dxa"/>
            <w:tcBorders/>
            <w:vAlign w:val="center"/>
          </w:tcPr>
          <w:p>
            <w:pPr>
              <w:pStyle w:val="TableContents"/>
              <w:bidi w:val="0"/>
              <w:spacing w:before="0" w:after="283"/>
              <w:jc w:val="left"/>
              <w:rPr/>
            </w:pPr>
            <w:r>
              <w:rPr/>
              <w:t>DGCL  </w:t>
            </w:r>
          </w:p>
        </w:tc>
        <w:tc>
          <w:tcPr>
            <w:tcW w:w="1535" w:type="dxa"/>
            <w:tcBorders/>
            <w:vAlign w:val="center"/>
          </w:tcPr>
          <w:p>
            <w:pPr>
              <w:pStyle w:val="TableContents"/>
              <w:bidi w:val="0"/>
              <w:spacing w:before="0" w:after="283"/>
              <w:jc w:val="left"/>
              <w:rPr/>
            </w:pPr>
            <w:r>
              <w:rPr/>
              <w:t>Recitals</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 Notice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3.6(b)</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Plan</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 Date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9.1(b)</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4.14(b)</w:t>
            </w:r>
          </w:p>
        </w:tc>
      </w:tr>
      <w:tr>
        <w:trPr/>
        <w:tc>
          <w:tcPr>
            <w:tcW w:w="3380" w:type="dxa"/>
            <w:tcBorders/>
            <w:vAlign w:val="center"/>
          </w:tcPr>
          <w:p>
            <w:pPr>
              <w:pStyle w:val="TableContents"/>
              <w:bidi w:val="0"/>
              <w:spacing w:before="0" w:after="283"/>
              <w:jc w:val="left"/>
              <w:rPr/>
            </w:pPr>
            <w:r>
              <w:rPr/>
              <w:t>ERISA  </w:t>
            </w:r>
          </w:p>
        </w:tc>
        <w:tc>
          <w:tcPr>
            <w:tcW w:w="1535" w:type="dxa"/>
            <w:tcBorders/>
            <w:vAlign w:val="center"/>
          </w:tcPr>
          <w:p>
            <w:pPr>
              <w:pStyle w:val="TableContents"/>
              <w:bidi w:val="0"/>
              <w:spacing w:before="0" w:after="283"/>
              <w:jc w:val="left"/>
              <w:rPr/>
            </w:pPr>
            <w:r>
              <w:rPr/>
              <w:t>Section 1.1</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Act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4.5(b)</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Agent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3.3(a)</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Fund</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3.3(a)</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Ratio</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3.1(a)(i)</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Excluded Shares</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3.1(a)(iii)</w:t>
            </w:r>
          </w:p>
        </w:tc>
      </w:tr>
      <w:tr>
        <w:trPr/>
        <w:tc>
          <w:tcPr>
            <w:tcW w:w="3380" w:type="dxa"/>
            <w:tcBorders/>
            <w:vAlign w:val="center"/>
          </w:tcPr>
          <w:p>
            <w:pPr>
              <w:pStyle w:val="TableContents"/>
              <w:bidi w:val="0"/>
              <w:spacing w:before="0" w:after="283"/>
              <w:jc w:val="left"/>
              <w:rPr/>
            </w:pPr>
            <w:r>
              <w:rPr/>
              <w:t>FDA  </w:t>
            </w:r>
          </w:p>
        </w:tc>
        <w:tc>
          <w:tcPr>
            <w:tcW w:w="1535" w:type="dxa"/>
            <w:tcBorders/>
            <w:vAlign w:val="center"/>
          </w:tcPr>
          <w:p>
            <w:pPr>
              <w:pStyle w:val="TableContents"/>
              <w:bidi w:val="0"/>
              <w:spacing w:before="0" w:after="283"/>
              <w:jc w:val="left"/>
              <w:rPr/>
            </w:pPr>
            <w:r>
              <w:rPr/>
              <w:t>Section 4.11(c)</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FDA Ethics Policy</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4.11(i)</w:t>
            </w:r>
          </w:p>
        </w:tc>
      </w:tr>
      <w:tr>
        <w:trPr/>
        <w:tc>
          <w:tcPr>
            <w:tcW w:w="3380" w:type="dxa"/>
            <w:tcBorders/>
            <w:vAlign w:val="center"/>
          </w:tcPr>
          <w:p>
            <w:pPr>
              <w:pStyle w:val="TableContents"/>
              <w:bidi w:val="0"/>
              <w:spacing w:before="0" w:after="283"/>
              <w:jc w:val="left"/>
              <w:rPr/>
            </w:pPr>
            <w:r>
              <w:rPr/>
              <w:t>FDCA  </w:t>
            </w:r>
          </w:p>
        </w:tc>
        <w:tc>
          <w:tcPr>
            <w:tcW w:w="1535" w:type="dxa"/>
            <w:tcBorders/>
            <w:vAlign w:val="center"/>
          </w:tcPr>
          <w:p>
            <w:pPr>
              <w:pStyle w:val="TableContents"/>
              <w:bidi w:val="0"/>
              <w:spacing w:before="0" w:after="283"/>
              <w:jc w:val="left"/>
              <w:rPr/>
            </w:pPr>
            <w:r>
              <w:rPr/>
              <w:t xml:space="preserve">Section 4.11(a) </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Parent Net Cash</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3.6(c)</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S-4</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7.1(a)</w:t>
            </w:r>
          </w:p>
        </w:tc>
      </w:tr>
      <w:tr>
        <w:trPr/>
        <w:tc>
          <w:tcPr>
            <w:tcW w:w="3380" w:type="dxa"/>
            <w:tcBorders/>
            <w:vAlign w:val="center"/>
          </w:tcPr>
          <w:p>
            <w:pPr>
              <w:pStyle w:val="TableContents"/>
              <w:bidi w:val="0"/>
              <w:spacing w:before="0" w:after="283"/>
              <w:jc w:val="left"/>
              <w:rPr/>
            </w:pPr>
            <w:r>
              <w:rPr/>
              <w:t>GAAP </w:t>
            </w:r>
          </w:p>
        </w:tc>
        <w:tc>
          <w:tcPr>
            <w:tcW w:w="1535" w:type="dxa"/>
            <w:tcBorders/>
            <w:vAlign w:val="center"/>
          </w:tcPr>
          <w:p>
            <w:pPr>
              <w:pStyle w:val="TableContents"/>
              <w:bidi w:val="0"/>
              <w:spacing w:before="0" w:after="283"/>
              <w:jc w:val="left"/>
              <w:rPr/>
            </w:pPr>
            <w:r>
              <w:rPr/>
              <w:t xml:space="preserve">Section 4.1(a) </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Guarantor Investment Amount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Guarantor Securities Purchase Agremeent</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35" w:type="dxa"/>
        <w:jc w:val="left"/>
        <w:tblInd w:w="0" w:type="dxa"/>
        <w:tblLayout w:type="fixed"/>
        <w:tblCellMar>
          <w:top w:w="0" w:type="dxa"/>
          <w:left w:w="0" w:type="dxa"/>
          <w:bottom w:w="0" w:type="dxa"/>
          <w:right w:w="0" w:type="dxa"/>
        </w:tblCellMar>
      </w:tblPr>
      <w:tblGrid>
        <w:gridCol w:w="3950"/>
        <w:gridCol w:w="1385"/>
      </w:tblGrid>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Hazardous Substance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4.14(c)</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Health Care Laws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 Systems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4.19(g)</w:t>
            </w:r>
          </w:p>
        </w:tc>
      </w:tr>
      <w:tr>
        <w:trPr/>
        <w:tc>
          <w:tcPr>
            <w:tcW w:w="3950" w:type="dxa"/>
            <w:tcBorders/>
            <w:vAlign w:val="center"/>
          </w:tcPr>
          <w:p>
            <w:pPr>
              <w:pStyle w:val="TableContents"/>
              <w:bidi w:val="0"/>
              <w:spacing w:before="0" w:after="283"/>
              <w:jc w:val="left"/>
              <w:rPr/>
            </w:pPr>
            <w:r>
              <w:rPr/>
              <w:t>knowledge  </w:t>
            </w:r>
          </w:p>
        </w:tc>
        <w:tc>
          <w:tcPr>
            <w:tcW w:w="1385" w:type="dxa"/>
            <w:tcBorders/>
            <w:vAlign w:val="center"/>
          </w:tcPr>
          <w:p>
            <w:pPr>
              <w:pStyle w:val="TableContents"/>
              <w:bidi w:val="0"/>
              <w:spacing w:before="0" w:after="283"/>
              <w:jc w:val="left"/>
              <w:rPr/>
            </w:pPr>
            <w:r>
              <w:rPr/>
              <w:t>Section 1.1</w:t>
            </w:r>
          </w:p>
        </w:tc>
      </w:tr>
      <w:tr>
        <w:trPr/>
        <w:tc>
          <w:tcPr>
            <w:tcW w:w="3950" w:type="dxa"/>
            <w:tcBorders/>
            <w:vAlign w:val="center"/>
          </w:tcPr>
          <w:p>
            <w:pPr>
              <w:pStyle w:val="TableContents"/>
              <w:bidi w:val="0"/>
              <w:spacing w:before="0" w:after="283"/>
              <w:jc w:val="left"/>
              <w:rPr/>
            </w:pPr>
            <w:r>
              <w:rPr/>
              <w:t>Law  </w:t>
            </w:r>
          </w:p>
        </w:tc>
        <w:tc>
          <w:tcPr>
            <w:tcW w:w="1385" w:type="dxa"/>
            <w:tcBorders/>
            <w:vAlign w:val="center"/>
          </w:tcPr>
          <w:p>
            <w:pPr>
              <w:pStyle w:val="TableContents"/>
              <w:bidi w:val="0"/>
              <w:spacing w:before="0" w:after="283"/>
              <w:jc w:val="left"/>
              <w:rPr/>
            </w:pPr>
            <w:r>
              <w:rPr/>
              <w:t>Section 4.5(a)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 Agreement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Measurement Date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5.2(a)</w:t>
            </w:r>
          </w:p>
        </w:tc>
      </w:tr>
      <w:tr>
        <w:trPr/>
        <w:tc>
          <w:tcPr>
            <w:tcW w:w="3950" w:type="dxa"/>
            <w:tcBorders/>
            <w:vAlign w:val="center"/>
          </w:tcPr>
          <w:p>
            <w:pPr>
              <w:pStyle w:val="TableContents"/>
              <w:bidi w:val="0"/>
              <w:spacing w:before="0" w:after="283"/>
              <w:jc w:val="left"/>
              <w:rPr/>
            </w:pPr>
            <w:r>
              <w:rPr/>
              <w:t>Merger  </w:t>
            </w:r>
          </w:p>
        </w:tc>
        <w:tc>
          <w:tcPr>
            <w:tcW w:w="1385" w:type="dxa"/>
            <w:tcBorders/>
            <w:vAlign w:val="center"/>
          </w:tcPr>
          <w:p>
            <w:pPr>
              <w:pStyle w:val="TableContents"/>
              <w:bidi w:val="0"/>
              <w:spacing w:before="0" w:after="283"/>
              <w:jc w:val="left"/>
              <w:rPr/>
            </w:pPr>
            <w:r>
              <w:rPr/>
              <w:t xml:space="preserve">Recitals </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Consideration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3.1(a)(i)</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Multiemployer Plan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pPr>
            <w:r>
              <w:rPr/>
              <w:t>Nasdaq  </w:t>
            </w:r>
          </w:p>
        </w:tc>
        <w:tc>
          <w:tcPr>
            <w:tcW w:w="1385" w:type="dxa"/>
            <w:tcBorders/>
            <w:vAlign w:val="center"/>
          </w:tcPr>
          <w:p>
            <w:pPr>
              <w:pStyle w:val="TableContents"/>
              <w:bidi w:val="0"/>
              <w:spacing w:before="0" w:after="283"/>
              <w:jc w:val="left"/>
              <w:rPr/>
            </w:pPr>
            <w:r>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Fees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Issuance Proposal</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Listing Application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Reverse Stock Split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Course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Course Agreement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4.15(g)</w:t>
            </w:r>
          </w:p>
        </w:tc>
      </w:tr>
      <w:tr>
        <w:trPr/>
        <w:tc>
          <w:tcPr>
            <w:tcW w:w="3950" w:type="dxa"/>
            <w:tcBorders/>
            <w:vAlign w:val="center"/>
          </w:tcPr>
          <w:p>
            <w:pPr>
              <w:pStyle w:val="TableContents"/>
              <w:bidi w:val="0"/>
              <w:spacing w:before="0" w:after="283"/>
              <w:jc w:val="left"/>
              <w:rPr/>
            </w:pPr>
            <w:r>
              <w:rPr/>
              <w:t>Parent  </w:t>
            </w:r>
          </w:p>
        </w:tc>
        <w:tc>
          <w:tcPr>
            <w:tcW w:w="1385" w:type="dxa"/>
            <w:tcBorders/>
            <w:vAlign w:val="center"/>
          </w:tcPr>
          <w:p>
            <w:pPr>
              <w:pStyle w:val="TableContents"/>
              <w:bidi w:val="0"/>
              <w:spacing w:before="0" w:after="283"/>
              <w:jc w:val="left"/>
              <w:rPr/>
            </w:pPr>
            <w:r>
              <w:rPr/>
              <w:t>Preamble</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401(k) Plan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Allocation Percentage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3.1(i)(G)</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 Adverse Recommendation Change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7.3(b)</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 Recommendation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7.3(b)</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Capital Stock</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Charter Amendment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Common Stock</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Common Stock Issuance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Disclosure Letter</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Equity Plans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ESPP</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Fundamental Representations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Intervening Event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7.3(c)</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IT Systems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5.19(d)</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Legacy Assets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Legacy Business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(ii)</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Legacy Transaction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6.1(c)</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Material Adverse Effect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Material Contracts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Net Cash Calculation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Net Cash Schedule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3.6(a)</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Notice Period</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7.3(c)</w:t>
            </w:r>
          </w:p>
        </w:tc>
      </w:tr>
      <w:tr>
        <w:trPr/>
        <w:tc>
          <w:tcPr>
            <w:tcW w:w="3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Options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viii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60" w:type="dxa"/>
        <w:jc w:val="left"/>
        <w:tblInd w:w="0" w:type="dxa"/>
        <w:tblLayout w:type="fixed"/>
        <w:tblCellMar>
          <w:top w:w="0" w:type="dxa"/>
          <w:left w:w="0" w:type="dxa"/>
          <w:bottom w:w="0" w:type="dxa"/>
          <w:right w:w="0" w:type="dxa"/>
        </w:tblCellMar>
      </w:tblPr>
      <w:tblGrid>
        <w:gridCol w:w="2975"/>
        <w:gridCol w:w="1385"/>
      </w:tblGrid>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OTM Options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Outstanding Shares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3.1(i)(H)</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Owned IP</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Plan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Preferred Stock</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Products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Registered IP</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Restricted Stock Unit Awards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SEC Documents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Approval</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Meeting</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Proposals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Support Agreements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Termination Fee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9.3(d)</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Triggering Event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Valuation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3.1(i)(I)</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Value Per Share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3.1(i)(G)</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Warrant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pPr>
            <w:r>
              <w:rPr/>
              <w:t>Permits  </w:t>
            </w:r>
          </w:p>
        </w:tc>
        <w:tc>
          <w:tcPr>
            <w:tcW w:w="1385" w:type="dxa"/>
            <w:tcBorders/>
            <w:vAlign w:val="center"/>
          </w:tcPr>
          <w:p>
            <w:pPr>
              <w:pStyle w:val="TableContents"/>
              <w:bidi w:val="0"/>
              <w:spacing w:before="0" w:after="283"/>
              <w:jc w:val="left"/>
              <w:rPr/>
            </w:pPr>
            <w:r>
              <w:rPr/>
              <w:t xml:space="preserve">Section 4.10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Alternative Agreement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9.1(j)</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4.18(a)</w:t>
            </w:r>
          </w:p>
        </w:tc>
      </w:tr>
      <w:tr>
        <w:trPr/>
        <w:tc>
          <w:tcPr>
            <w:tcW w:w="2975" w:type="dxa"/>
            <w:tcBorders/>
            <w:vAlign w:val="center"/>
          </w:tcPr>
          <w:p>
            <w:pPr>
              <w:pStyle w:val="TableContents"/>
              <w:bidi w:val="0"/>
              <w:spacing w:before="0" w:after="283"/>
              <w:jc w:val="left"/>
              <w:rPr/>
            </w:pPr>
            <w:r>
              <w:rPr/>
              <w:t>Person  </w:t>
            </w:r>
          </w:p>
        </w:tc>
        <w:tc>
          <w:tcPr>
            <w:tcW w:w="1385" w:type="dxa"/>
            <w:tcBorders/>
            <w:vAlign w:val="center"/>
          </w:tcPr>
          <w:p>
            <w:pPr>
              <w:pStyle w:val="TableContents"/>
              <w:bidi w:val="0"/>
              <w:spacing w:before="0" w:after="283"/>
              <w:jc w:val="left"/>
              <w:rPr/>
            </w:pPr>
            <w:r>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Information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4.19(h)</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Parent Shares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3.1(i)(J)</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Distribution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Period</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Laws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4.19(h)</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7.1(a)</w:t>
            </w:r>
          </w:p>
        </w:tc>
      </w:tr>
      <w:tr>
        <w:trPr/>
        <w:tc>
          <w:tcPr>
            <w:tcW w:w="2975" w:type="dxa"/>
            <w:tcBorders/>
            <w:vAlign w:val="center"/>
          </w:tcPr>
          <w:p>
            <w:pPr>
              <w:pStyle w:val="TableContents"/>
              <w:bidi w:val="0"/>
              <w:spacing w:before="0" w:after="283"/>
              <w:jc w:val="left"/>
              <w:rPr/>
            </w:pPr>
            <w:r>
              <w:rPr/>
              <w:t>Representative  </w:t>
            </w:r>
          </w:p>
        </w:tc>
        <w:tc>
          <w:tcPr>
            <w:tcW w:w="1385" w:type="dxa"/>
            <w:tcBorders/>
            <w:vAlign w:val="center"/>
          </w:tcPr>
          <w:p>
            <w:pPr>
              <w:pStyle w:val="TableContents"/>
              <w:bidi w:val="0"/>
              <w:spacing w:before="0" w:after="283"/>
              <w:jc w:val="left"/>
              <w:rPr/>
            </w:pPr>
            <w:r>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Response Date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Agent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Notices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4.11(g)</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Sarbanes-Oxley Act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5.6(a)</w:t>
            </w:r>
          </w:p>
        </w:tc>
      </w:tr>
      <w:tr>
        <w:trPr/>
        <w:tc>
          <w:tcPr>
            <w:tcW w:w="2975" w:type="dxa"/>
            <w:tcBorders/>
            <w:vAlign w:val="center"/>
          </w:tcPr>
          <w:p>
            <w:pPr>
              <w:pStyle w:val="TableContents"/>
              <w:bidi w:val="0"/>
              <w:spacing w:before="0" w:after="283"/>
              <w:jc w:val="left"/>
              <w:rPr/>
            </w:pPr>
            <w:r>
              <w:rPr/>
              <w:t>SEC  </w:t>
            </w:r>
          </w:p>
        </w:tc>
        <w:tc>
          <w:tcPr>
            <w:tcW w:w="1385" w:type="dxa"/>
            <w:tcBorders/>
            <w:vAlign w:val="center"/>
          </w:tcPr>
          <w:p>
            <w:pPr>
              <w:pStyle w:val="TableContents"/>
              <w:bidi w:val="0"/>
              <w:spacing w:before="0" w:after="283"/>
              <w:jc w:val="left"/>
              <w:rPr/>
            </w:pPr>
            <w:r>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Act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Purchase Agreement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Subsequent Transaction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pPr>
            <w:r>
              <w:rPr/>
              <w:t>Subsidiary  </w:t>
            </w:r>
          </w:p>
        </w:tc>
        <w:tc>
          <w:tcPr>
            <w:tcW w:w="1385" w:type="dxa"/>
            <w:tcBorders/>
            <w:vAlign w:val="center"/>
          </w:tcPr>
          <w:p>
            <w:pPr>
              <w:pStyle w:val="TableContents"/>
              <w:bidi w:val="0"/>
              <w:spacing w:before="0" w:after="283"/>
              <w:jc w:val="left"/>
              <w:rPr/>
            </w:pPr>
            <w:r>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Superior Offer</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Company</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Action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4.15(d)</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Opinion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Return</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2975" w:type="dxa"/>
            <w:tcBorders/>
            <w:vAlign w:val="center"/>
          </w:tcPr>
          <w:p>
            <w:pPr>
              <w:pStyle w:val="TableContents"/>
              <w:bidi w:val="0"/>
              <w:spacing w:before="0" w:after="283"/>
              <w:jc w:val="left"/>
              <w:rPr/>
            </w:pPr>
            <w:r>
              <w:rPr/>
              <w:t>Taxes  </w:t>
            </w:r>
          </w:p>
        </w:tc>
        <w:tc>
          <w:tcPr>
            <w:tcW w:w="1385" w:type="dxa"/>
            <w:tcBorders/>
            <w:vAlign w:val="center"/>
          </w:tcPr>
          <w:p>
            <w:pPr>
              <w:pStyle w:val="TableContents"/>
              <w:bidi w:val="0"/>
              <w:spacing w:before="0" w:after="283"/>
              <w:jc w:val="left"/>
              <w:rPr/>
            </w:pPr>
            <w:r>
              <w:rPr/>
              <w:t>Section 1.1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ix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25" w:type="dxa"/>
        <w:jc w:val="left"/>
        <w:tblInd w:w="0" w:type="dxa"/>
        <w:tblLayout w:type="fixed"/>
        <w:tblCellMar>
          <w:top w:w="0" w:type="dxa"/>
          <w:left w:w="0" w:type="dxa"/>
          <w:bottom w:w="0" w:type="dxa"/>
          <w:right w:w="0" w:type="dxa"/>
        </w:tblCellMar>
      </w:tblPr>
      <w:tblGrid>
        <w:gridCol w:w="1865"/>
        <w:gridCol w:w="11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Approvals</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Laws</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Expenses</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Litigation</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7.4(c)</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Treatment</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7.9(a)</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Agent</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x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June 22, 2025, by and among Carisma Therapeutics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Azalea Merger Sub, Inc., a Delaware corporation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wholly owned subsidiary of Parent, OrthoCellix,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Ocugen, Inc., a Delaware corporation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and the Company intend to effect a merger of Merger Sub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in accordance with this Agreement and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Upon consummation of the Merger, Merger Sub will cease to exist and the Company will become a wholly owned subsidiary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(i) determined that the Contemplated Transactions (as defined below) are fair to, advisable and in the best interests of the Company and its sole stockholder, (ii) approved and declared advisable this Agreement and the Contemplated Transactions and (iii) determined to recommend, upon the terms and subject to the conditions set forth in this Agreement, that the sole stockholder of the Company vote to adopt this Agreement and thereby approve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Board has unanimously approved this Agreement and the Merger, with the Company continuing as the Surviving Company (as defined below), after the Effective Time (as defined below), pursuant to which, among other things, each share of common stock, par value $0.00001 per share, of the Company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(other than any Excluded Shares or Dissenting Shares) shall be converted into the right to receive a number of shares of common stock, par value $0.001 per share, of Parent (the “</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equal to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has (i) determined that the Contemplated Transactions are fair to, advisable and in the best interests of Parent and its stockholders, (ii) approved and declared advisable this Agreement and the Contemplated Transactions, including the issuance of shares of Parent Capital Stock to the stockholders of the Company pursuant to this Agreement and the Parent Support Agreements and the constructive issuance by the Company of the shares of Company Common Stock to stockholders of Parent (as reflected in Rule 145(a) of the Securities Act) (the “</w:t>
      </w:r>
      <w:r>
        <w:rPr>
          <w:rFonts w:ascii="Times New Roman;Times;Serif" w:hAnsi="Times New Roman;Times;Serif"/>
          <w:b w:val="false"/>
          <w:i w:val="false"/>
          <w:caps w:val="false"/>
          <w:smallCaps w:val="false"/>
          <w:sz w:val="20"/>
          <w:u w:val="single"/>
        </w:rPr>
        <w:t>Constructive Issuance</w:t>
      </w:r>
      <w:r>
        <w:rPr>
          <w:rFonts w:ascii="Times New Roman;Times;Serif" w:hAnsi="Times New Roman;Times;Serif"/>
          <w:b w:val="false"/>
          <w:i w:val="false"/>
          <w:caps w:val="false"/>
          <w:smallCaps w:val="false"/>
          <w:sz w:val="20"/>
        </w:rPr>
        <w:t>”), (iii) determined that the Reverse Stock Split Proposal (as defined below), among other things, is advisable and in the best interests of Parent and its stockholders and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Times;Serif" w:hAnsi="Times New Roman;Times;Serif"/>
          <w:b w:val="false"/>
          <w:i w:val="false"/>
          <w:caps w:val="false"/>
          <w:smallCaps w:val="false"/>
          <w:sz w:val="20"/>
          <w:u w:val="single"/>
        </w:rPr>
        <w:t>Nasdaq Issuance Proposal</w:t>
      </w:r>
      <w:r>
        <w:rPr>
          <w:rFonts w:ascii="Times New Roman;Times;Serif" w:hAnsi="Times New Roman;Times;Serif"/>
          <w:b w:val="false"/>
          <w:i w:val="false"/>
          <w:caps w:val="false"/>
          <w:smallCaps w:val="false"/>
          <w:sz w:val="20"/>
        </w:rPr>
        <w:t>”), the Reverse Stock Split Proposal and the other Parent Stockholder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Merger Sub is a newly incorporated Delaware corporation that is wholly owned by Parent, and has been formed for the sole purpose of effecting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June 19, 2025, the Guarantor contributed the NeoCart Assets to the Company pursuant to an Asset Contribution Agreement, by and between the Guarantor and the Company (the “</w:t>
      </w:r>
      <w:r>
        <w:rPr>
          <w:rFonts w:ascii="Times New Roman;Times;Serif" w:hAnsi="Times New Roman;Times;Serif"/>
          <w:b w:val="false"/>
          <w:i w:val="false"/>
          <w:caps w:val="false"/>
          <w:smallCaps w:val="false"/>
          <w:sz w:val="20"/>
          <w:u w:val="single"/>
        </w:rPr>
        <w:t>Contribution Agreement</w:t>
      </w:r>
      <w:r>
        <w:rPr>
          <w:rFonts w:ascii="Times New Roman;Times;Serif" w:hAnsi="Times New Roman;Times;Serif"/>
          <w:b w:val="false"/>
          <w:i w:val="false"/>
          <w:caps w:val="false"/>
          <w:smallCaps w:val="false"/>
          <w:sz w:val="20"/>
        </w:rPr>
        <w:t>”) in exchange for shares of Common Stock in the Company (such transactions, the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Merger Sub and the Company each desire to make certain representations, warranties, covenants and agreements in connection with the Merger and also to prescribe certain conditions to the Merger as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concurrently with the execution and delivery of this Agreement and as a condition and inducement to the Company’s willingness to enter into this Agreement, the officers, directors and stockholders of Parent listed on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Parent Disclosure Letter have entered into Parent Support Agreements, dated as of the date of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Parent Support Agreements</w:t>
      </w:r>
      <w:r>
        <w:rPr>
          <w:rFonts w:ascii="Times New Roman;Times;Serif" w:hAnsi="Times New Roman;Times;Serif"/>
          <w:b w:val="false"/>
          <w:i w:val="false"/>
          <w:caps w:val="false"/>
          <w:smallCaps w:val="false"/>
          <w:sz w:val="20"/>
        </w:rPr>
        <w:t>”), pursuant to which such officers, directors and stockholders have, subject to the terms and conditions set forth therein, agreed to vote all of their shares of Parent Common Stock in favor of the approval of this Agreement and thereby approve the Contemplated Transactions, including, but not limited to the Parent Stockholder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Company Disclosure Letter have entered into Company Support Agreements, dated as of the date of this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Company Support Agreements</w:t>
      </w:r>
      <w:r>
        <w:rPr>
          <w:rFonts w:ascii="Times New Roman;Times;Serif" w:hAnsi="Times New Roman;Times;Serif"/>
          <w:b w:val="false"/>
          <w:i w:val="false"/>
          <w:caps w:val="false"/>
          <w:smallCaps w:val="false"/>
          <w:sz w:val="20"/>
        </w:rPr>
        <w:t>”), pursuant to which such officers, directors and stockholders have, subject to the terms and conditions set forth therein, agreed to vote all of their shares of Company Common Stock in favor of the adoption of this Agreement and thereby approve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concurrently with the execution and delivery of this Agreement and as a condition and inducement to Parent’s willingness to enter into this Agreement, certain members of the Company Board that are continuing in such role following the Merger, certain members of the Parent Board that are continuing in such role following the Merger and stockholders of the Company listed on </w:t>
      </w:r>
      <w:r>
        <w:rPr>
          <w:rFonts w:ascii="Times New Roman;Times;Serif" w:hAnsi="Times New Roman;Times;Serif"/>
          <w:b w:val="false"/>
          <w:i w:val="false"/>
          <w:caps w:val="false"/>
          <w:smallCaps w:val="false"/>
          <w:sz w:val="20"/>
          <w:u w:val="single"/>
        </w:rPr>
        <w:t>Section B</w:t>
      </w:r>
      <w:r>
        <w:rPr>
          <w:rFonts w:ascii="Times New Roman;Times;Serif" w:hAnsi="Times New Roman;Times;Serif"/>
          <w:b w:val="false"/>
          <w:i w:val="false"/>
          <w:caps w:val="false"/>
          <w:smallCaps w:val="false"/>
          <w:sz w:val="20"/>
        </w:rPr>
        <w:t xml:space="preserve"> of the Company Disclosure Letter are executing lock-up agreements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United States federal income Tax purposes, it is intended that (i) the Merger shall qualify as a “reorganization” within the meaning of Section 368(a)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also qualify as a non-taxable exchange of shares of Company Common Stock for shares of Parent Common Stock within the meaning of Section 351(a) of the Code and (ii) this Agreement shall constitute a “plan of reorganization” within the meaning of Treasury Regulations Sections 1.368-2(g) and 1.368-3(a);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expected that within twenty-four (24) hours after the Registration Statement is declared effective under the Securities Act, the stockholders of the Company will execute an action by written consent by all holders sufficient to authorize the Contemplated Transactions of outstanding shares of Company Common Stock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by Guarantor for Parent to enter into this Agreement, Guarantor will execute a Securities Purchase Agreement (the “</w:t>
      </w:r>
      <w:r>
        <w:rPr>
          <w:rFonts w:ascii="Times New Roman;Times;Serif" w:hAnsi="Times New Roman;Times;Serif"/>
          <w:b w:val="false"/>
          <w:i w:val="false"/>
          <w:caps w:val="false"/>
          <w:smallCaps w:val="false"/>
          <w:sz w:val="20"/>
          <w:u w:val="single"/>
        </w:rPr>
        <w:t>Guarantor Securities Purchase Agreement</w:t>
      </w:r>
      <w:r>
        <w:rPr>
          <w:rFonts w:ascii="Times New Roman;Times;Serif" w:hAnsi="Times New Roman;Times;Serif"/>
          <w:b w:val="false"/>
          <w:i w:val="false"/>
          <w:caps w:val="false"/>
          <w:smallCaps w:val="false"/>
          <w:sz w:val="20"/>
        </w:rPr>
        <w:t>”) committing to purchase not less than $5,000,000 of shares of Parent Common Stock, substantially contemporaneously with the Closing (the “</w:t>
      </w:r>
      <w:r>
        <w:rPr>
          <w:rFonts w:ascii="Times New Roman;Times;Serif" w:hAnsi="Times New Roman;Times;Serif"/>
          <w:b w:val="false"/>
          <w:i w:val="false"/>
          <w:caps w:val="false"/>
          <w:smallCaps w:val="false"/>
          <w:sz w:val="20"/>
          <w:u w:val="single"/>
        </w:rPr>
        <w:t>Guarantor Investment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representations, warranties, covenants and agreements contained herein, and intending to be legally bound hereby, Parent, Merger Sub and the Company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&amp; 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2014 Stock Incentive Plan</w:t>
      </w:r>
      <w:r>
        <w:rPr>
          <w:rFonts w:ascii="Times New Roman;Times;Serif" w:hAnsi="Times New Roman;Times;Serif"/>
          <w:b w:val="false"/>
          <w:i w:val="false"/>
          <w:caps w:val="false"/>
          <w:smallCaps w:val="false"/>
          <w:sz w:val="20"/>
        </w:rPr>
        <w:t>” means Parent’s Amended and Restated 2014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2017 Stock Incentive Plan</w:t>
      </w:r>
      <w:r>
        <w:rPr>
          <w:rFonts w:ascii="Times New Roman;Times;Serif" w:hAnsi="Times New Roman;Times;Serif"/>
          <w:b w:val="false"/>
          <w:i w:val="false"/>
          <w:caps w:val="false"/>
          <w:smallCaps w:val="false"/>
          <w:sz w:val="20"/>
        </w:rPr>
        <w:t>” means Parent’s 2017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2025 Equity Incentive Plan</w:t>
      </w:r>
      <w:r>
        <w:rPr>
          <w:rFonts w:ascii="Times New Roman;Times;Serif" w:hAnsi="Times New Roman;Times;Serif"/>
          <w:b w:val="false"/>
          <w:i w:val="false"/>
          <w:caps w:val="false"/>
          <w:smallCaps w:val="false"/>
          <w:sz w:val="20"/>
        </w:rPr>
        <w:t>” shall mean an equity incentive plan of Parent in form and substance as designated by the Company and reasonably acceptable to Parent, reserving for issuance a number of shares of Parent Common Stock to designated by the Company and consented to by Parent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2025 ESPP</w:t>
      </w:r>
      <w:r>
        <w:rPr>
          <w:rFonts w:ascii="Times New Roman;Times;Serif" w:hAnsi="Times New Roman;Times;Serif"/>
          <w:b w:val="false"/>
          <w:i w:val="false"/>
          <w:caps w:val="false"/>
          <w:smallCaps w:val="false"/>
          <w:sz w:val="20"/>
        </w:rPr>
        <w:t>” shall mean an “employee stock purchase plan” of Parent in form and substance as designated by the Company and reasonably acceptable to Parent, reserving for issuance a number of shares of Parent Common Stock to designated by the Company and consented to by Parent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2025 Plans</w:t>
      </w:r>
      <w:r>
        <w:rPr>
          <w:rFonts w:ascii="Times New Roman;Times;Serif" w:hAnsi="Times New Roman;Times;Serif"/>
          <w:b w:val="false"/>
          <w:i w:val="false"/>
          <w:caps w:val="false"/>
          <w:smallCaps w:val="false"/>
          <w:sz w:val="20"/>
        </w:rPr>
        <w:t>” shall mean both the 2025 Equity Incentive Plan and 2025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or the Company, as applicable,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Acquisition Inquiry</w:t>
      </w:r>
      <w:r>
        <w:rPr>
          <w:rFonts w:ascii="Times New Roman;Times;Serif" w:hAnsi="Times New Roman;Times;Serif"/>
          <w:b w:val="false"/>
          <w:i w:val="false"/>
          <w:caps w:val="false"/>
          <w:smallCaps w:val="false"/>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would reasonably be expected to lead to an Acquisition Proposal, other than the Concurrent Investment, or (subject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a Parent Legacy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with respect to either party hereto, any proposal or offer (whether written or oral) from any Person (other than the other party or any of its Representatives) contemplating or otherwise relating to an Acquisition Transaction (other than in connection with the Concurrent Investment, or (subject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a Parent Legacy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Acquisition Transaction</w:t>
      </w:r>
      <w:r>
        <w:rPr>
          <w:rFonts w:ascii="Times New Roman;Times;Serif" w:hAnsi="Times New Roman;Times;Serif"/>
          <w:b w:val="false"/>
          <w:i w:val="false"/>
          <w:caps w:val="false"/>
          <w:smallCaps w:val="false"/>
          <w:sz w:val="20"/>
        </w:rPr>
        <w:t>” means any transaction or series of related transactions (other than the Concurrent Investment or any Parent Legacy Transaction) involving: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sale, lease, exchange, transfer, license, acquisition or disposition of any business or businesses or assets that constitute or account for 20% or more of the consolidated book value of the fair market value of the assets of a party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any other Person that directly or indirectly, through one or more intermediaries, controls, is controlled by, or is under common control with,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banks in New York, New York are authorized or required by applicable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Concurrent Investment</w:t>
      </w:r>
      <w:r>
        <w:rPr>
          <w:rFonts w:ascii="Times New Roman;Times;Serif" w:hAnsi="Times New Roman;Times;Serif"/>
          <w:b w:val="false"/>
          <w:i w:val="false"/>
          <w:caps w:val="false"/>
          <w:smallCaps w:val="false"/>
          <w:sz w:val="20"/>
        </w:rPr>
        <w:t>” means an aggregate commitment of not less than the Concurrent Investment Amount pursuant to which certain investors will agree, subject to the terms and conditions of the applicable Securities Purchase Agreement, to subscribe for and purchase a number of shares of Parent Common Stock substantially contemporaneously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Concurrent Investment Amount</w:t>
      </w:r>
      <w:r>
        <w:rPr>
          <w:rFonts w:ascii="Times New Roman;Times;Serif" w:hAnsi="Times New Roman;Times;Serif"/>
          <w:b w:val="false"/>
          <w:i w:val="false"/>
          <w:caps w:val="false"/>
          <w:smallCaps w:val="false"/>
          <w:sz w:val="20"/>
        </w:rPr>
        <w:t>” means $25,000,000. For the avoidance of doubt, the Concurrent Investment Amount shall be inclusive of the Guarantor Investment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Company Fundamental Representations</w:t>
      </w:r>
      <w:r>
        <w:rPr>
          <w:rFonts w:ascii="Times New Roman;Times;Serif" w:hAnsi="Times New Roman;Times;Serif"/>
          <w:b w:val="false"/>
          <w:i w:val="false"/>
          <w:caps w:val="false"/>
          <w:smallCaps w:val="false"/>
          <w:sz w:val="20"/>
        </w:rPr>
        <w:t xml:space="preserve">” means each of the representations and warranties of the Company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Company Owned IP</w:t>
      </w:r>
      <w:r>
        <w:rPr>
          <w:rFonts w:ascii="Times New Roman;Times;Serif" w:hAnsi="Times New Roman;Times;Serif"/>
          <w:b w:val="false"/>
          <w:i w:val="false"/>
          <w:caps w:val="false"/>
          <w:smallCaps w:val="false"/>
          <w:sz w:val="20"/>
        </w:rPr>
        <w:t>” means all Intellectual Property owned by the Company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means each Employee Plan that is sponsored, maintained, or contributed (or required to be contributed) to by the Company or Guarantor for the benefit of current or former employees, officers, directors or other service providers of Guarantor or any of its Subsidiaries providing services to the Company or with respect to which the Company has any liability, contingent or otherwise, other than any plan, program, arrangement, agreement or policy mandated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Company Triggering Event</w:t>
      </w:r>
      <w:r>
        <w:rPr>
          <w:rFonts w:ascii="Times New Roman;Times;Serif" w:hAnsi="Times New Roman;Times;Serif"/>
          <w:b w:val="false"/>
          <w:i w:val="false"/>
          <w:caps w:val="false"/>
          <w:smallCaps w:val="false"/>
          <w:sz w:val="20"/>
        </w:rPr>
        <w:t xml:space="preserve">” shall be deemed to have occurred if: (a) the Company Board shall have publicly approved, endorsed or recommended any Acquisition Proposal, (b) the Company shall have entered into any letter of intent or similar document or any Contract relating to any Acquisition Proposal (other than an Acceptable Confidentiality Agreement) permitted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or (c) the Company shall have materially and willfully breached its obligations under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Mutual Non-Disclosure Agreement, dated as of April 7, 2025, between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means the Merger, the Constructive Issuance and the other transactions contemplated by this Agreement (other than the Parent Legacy Transaction and Parent Charter Amendment) including the CVR Agreement, the Concurrent Investment and the Nasdaq Reverse Stock Split (to the extent applicable and deemed necessary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each “employee benefit plan” (within the meaning of section 3(3) of ERISA, whether or not subject to ERISA), Multiemployer Plans, and all stock purchase, stock option,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Contemplated Transactions or otherwise), whether formal or informal, written or 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and (v) any other proprietary or intellectual property rights of any kind or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of any party means (i) the actual knowledge of any executive officer of such party or other officer having primary responsibility for the relevant matter or any employee consultant or interim officer serving similar roles and (ii) any fact or matter which any such Person would be expected to discover or otherwise become aware of in the course of conducting due inquiry, consistent with such Person’s title and responsibilities, concerning the existence of the relevant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Manufacturing and Supply Agreement</w:t>
      </w:r>
      <w:r>
        <w:rPr>
          <w:rFonts w:ascii="Times New Roman;Times;Serif" w:hAnsi="Times New Roman;Times;Serif"/>
          <w:b w:val="false"/>
          <w:i w:val="false"/>
          <w:caps w:val="false"/>
          <w:smallCaps w:val="false"/>
          <w:sz w:val="20"/>
        </w:rPr>
        <w:t>” means a manufacturing and supply agreement to be negotiated (in a form and substance subject to Parent’s prior written consent, which shall not be unreasonably withheld, conditioned or delayed) pursuant to Section 7.18, the material terms of which will be substantially final on or prior to July 11, 2025, and to be entered into between the Guarantor and the Company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shall have the meaning set forth in Section 3(37)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Nasdaq Fees</w:t>
      </w:r>
      <w:r>
        <w:rPr>
          <w:rFonts w:ascii="Times New Roman;Times;Serif" w:hAnsi="Times New Roman;Times;Serif"/>
          <w:b w:val="false"/>
          <w:i w:val="false"/>
          <w:caps w:val="false"/>
          <w:smallCaps w:val="false"/>
          <w:sz w:val="20"/>
        </w:rPr>
        <w:t xml:space="preserve">” means all Nasdaq fees associated with any action contemplated by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Nasdaq Reverse Stock Split</w:t>
      </w:r>
      <w:r>
        <w:rPr>
          <w:rFonts w:ascii="Times New Roman;Times;Serif" w:hAnsi="Times New Roman;Times;Serif"/>
          <w:b w:val="false"/>
          <w:i w:val="false"/>
          <w:caps w:val="false"/>
          <w:smallCaps w:val="false"/>
          <w:sz w:val="20"/>
        </w:rPr>
        <w:t>” means a reverse stock split of all outstanding shares of Parent Common Stock at a reverse stock split ratio as mutually agreed to by Parent and the Company that is effectuated by Parent for the purpose of maintaining or achieving compliance with Nasdaq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NeoCart Assets</w:t>
      </w:r>
      <w:r>
        <w:rPr>
          <w:rFonts w:ascii="Times New Roman;Times;Serif" w:hAnsi="Times New Roman;Times;Serif"/>
          <w:b w:val="false"/>
          <w:i w:val="false"/>
          <w:caps w:val="false"/>
          <w:smallCaps w:val="false"/>
          <w:sz w:val="20"/>
        </w:rPr>
        <w:t>” has the meaning set forth in the Contribution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Net Cash</w:t>
      </w:r>
      <w:r>
        <w:rPr>
          <w:rFonts w:ascii="Times New Roman;Times;Serif" w:hAnsi="Times New Roman;Times;Serif"/>
          <w:b w:val="false"/>
          <w:i w:val="false"/>
          <w:caps w:val="false"/>
          <w:smallCaps w:val="false"/>
          <w:sz w:val="20"/>
        </w:rPr>
        <w:t xml:space="preserve">” means, without duplication, (i) the sum of Parent’s unrestricted cash, cash equivalents and short-term marketable securities and the cash consideration attributable to the sale of Legacy Assets, solely to the extent not received by Parent as of the Effective Time and solely to the extent Parent and the Company mutually agree will be received within ninety (90) days following the Closing,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solely to the extent Parent and the Company mutually agree such funds will be available to and usable by Parent within ninety (90) days of the Closing Date, all prepaid expenses and deposits, credits and refunds set forth on </w:t>
      </w:r>
      <w:r>
        <w:rPr>
          <w:rFonts w:ascii="Times New Roman;Times;Serif" w:hAnsi="Times New Roman;Times;Serif"/>
          <w:b w:val="false"/>
          <w:i w:val="false"/>
          <w:caps w:val="false"/>
          <w:smallCaps w:val="false"/>
          <w:sz w:val="20"/>
          <w:u w:val="single"/>
        </w:rPr>
        <w:t>Schedule 1.1(a)(ii)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(iii) the sum of Parent’s short-term and long-term liabilities (including any outstanding liabilities with respect to Parent’s obligations with respect to the items set forth on </w:t>
      </w:r>
      <w:r>
        <w:rPr>
          <w:rFonts w:ascii="Times New Roman;Times;Serif" w:hAnsi="Times New Roman;Times;Serif"/>
          <w:b w:val="false"/>
          <w:i w:val="false"/>
          <w:caps w:val="false"/>
          <w:smallCaps w:val="false"/>
          <w:sz w:val="20"/>
          <w:u w:val="single"/>
        </w:rPr>
        <w:t>Schedule 1.1(a)(iii)</w:t>
      </w:r>
      <w:r>
        <w:rPr>
          <w:rFonts w:ascii="Times New Roman;Times;Serif" w:hAnsi="Times New Roman;Times;Serif"/>
          <w:b w:val="false"/>
          <w:i w:val="false"/>
          <w:caps w:val="false"/>
          <w:smallCaps w:val="false"/>
          <w:sz w:val="20"/>
        </w:rPr>
        <w:t xml:space="preserve">) (including all accounts payable and indebtedness), including lease termination costs, all actual costs and expenses (and reasonably projected costs and expenses as mutually agreed between Parent and the Company, acting in good faith) relating to the winding down of the Parent Legacy Business and any related prepayment penalties and premiums and any unpaid Transaction Expenses (including any costs, fees or other liabilities, including Taxes, related to the premiums, commissions and other fees payable in connection with obtaining Parent’s D&amp;O tail policy as set forth in </w:t>
      </w:r>
      <w:r>
        <w:rPr>
          <w:rFonts w:ascii="Times New Roman;Times;Serif" w:hAnsi="Times New Roman;Times;Serif"/>
          <w:b w:val="false"/>
          <w:i w:val="false"/>
          <w:caps w:val="false"/>
          <w:smallCaps w:val="false"/>
          <w:sz w:val="20"/>
          <w:u w:val="single"/>
        </w:rPr>
        <w:t>Section 7.5(d)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(iv) any and all change in control payments and severance payments, in each case, payable to Parent’s employees, and any employer-side payroll or similar Taxes owed in connection with the foregoing or in connection with the exercise of Parent Options and vesting and settlement of Parent Restricted Stock Unit Awards, in each case to the extent payable in connection with the consummation of the Contemplated Transactions,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(v) 50% of the mutually agreed estimated settlement amounts for any Transaction Litigation existing as of the Closing. Set forth on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of the Parent Disclosure Letter is an illustrative example of the calculation of Net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Parent Capital Stock</w:t>
      </w:r>
      <w:r>
        <w:rPr>
          <w:rFonts w:ascii="Times New Roman;Times;Serif" w:hAnsi="Times New Roman;Times;Serif"/>
          <w:b w:val="false"/>
          <w:i w:val="false"/>
          <w:caps w:val="false"/>
          <w:smallCaps w:val="false"/>
          <w:sz w:val="20"/>
        </w:rPr>
        <w:t>” means the Parent Common Stock and the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Parent Equity Plans</w:t>
      </w:r>
      <w:r>
        <w:rPr>
          <w:rFonts w:ascii="Times New Roman;Times;Serif" w:hAnsi="Times New Roman;Times;Serif"/>
          <w:b w:val="false"/>
          <w:i w:val="false"/>
          <w:caps w:val="false"/>
          <w:smallCaps w:val="false"/>
          <w:sz w:val="20"/>
        </w:rPr>
        <w:t>” means each of Parent’s 2014 Stock Incentive Plan, 2017 Stock Incentive Plan and Parent ESPP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Parent ESPP</w:t>
      </w:r>
      <w:r>
        <w:rPr>
          <w:rFonts w:ascii="Times New Roman;Times;Serif" w:hAnsi="Times New Roman;Times;Serif"/>
          <w:b w:val="false"/>
          <w:i w:val="false"/>
          <w:caps w:val="false"/>
          <w:smallCaps w:val="false"/>
          <w:sz w:val="20"/>
        </w:rPr>
        <w:t>” means Parent’s Amended and Restated 2014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Parent Fundamental Representations</w:t>
      </w:r>
      <w:r>
        <w:rPr>
          <w:rFonts w:ascii="Times New Roman;Times;Serif" w:hAnsi="Times New Roman;Times;Serif"/>
          <w:b w:val="false"/>
          <w:i w:val="false"/>
          <w:caps w:val="false"/>
          <w:smallCaps w:val="false"/>
          <w:sz w:val="20"/>
        </w:rPr>
        <w:t xml:space="preserve">” means each of the representations and warranties of Parent and Merger Sub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Parent Legacy Assets</w:t>
      </w:r>
      <w:r>
        <w:rPr>
          <w:rFonts w:ascii="Times New Roman;Times;Serif" w:hAnsi="Times New Roman;Times;Serif"/>
          <w:b w:val="false"/>
          <w:i w:val="false"/>
          <w:caps w:val="false"/>
          <w:smallCaps w:val="false"/>
          <w:sz w:val="20"/>
        </w:rPr>
        <w:t xml:space="preserve">” means all assets, technology and Intellectual Property of Parent, as they existed at any time prior to the date of this Agreement, relating to the Company’s research and development programs, as conducted and proposed to be conducted, including its CT-0525, CT-0508, CT-1119 and its engineered macrophage,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mRNA/lipid nanopartical CAR-M programs and its partnership with ModernaTX, Inc., including, for purposes of clarity, the tangible and intangible assets of Parent relating thereto (the “</w:t>
      </w:r>
      <w:r>
        <w:rPr>
          <w:rFonts w:ascii="Times New Roman;Times;Serif" w:hAnsi="Times New Roman;Times;Serif"/>
          <w:b w:val="false"/>
          <w:i w:val="false"/>
          <w:caps w:val="false"/>
          <w:smallCaps w:val="false"/>
          <w:sz w:val="20"/>
          <w:u w:val="single"/>
        </w:rPr>
        <w:t>Parent Legacy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Parent Options</w:t>
      </w:r>
      <w:r>
        <w:rPr>
          <w:rFonts w:ascii="Times New Roman;Times;Serif" w:hAnsi="Times New Roman;Times;Serif"/>
          <w:b w:val="false"/>
          <w:i w:val="false"/>
          <w:caps w:val="false"/>
          <w:smallCaps w:val="false"/>
          <w:sz w:val="20"/>
        </w:rPr>
        <w:t>” means options to purchase shares of Parent Common Stock issued pursuant to a Parent Equity Plan, but excluding, for the avoidance of doubt, the Parent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Parent OTM Option</w:t>
      </w:r>
      <w:r>
        <w:rPr>
          <w:rFonts w:ascii="Times New Roman;Times;Serif" w:hAnsi="Times New Roman;Times;Serif"/>
          <w:b w:val="false"/>
          <w:i w:val="false"/>
          <w:caps w:val="false"/>
          <w:smallCaps w:val="false"/>
          <w:sz w:val="20"/>
        </w:rPr>
        <w:t>” means Parent Options with an exercise price greater than $2.00 per share (before giving effect to the Nasdaq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Parent Owned IP</w:t>
      </w:r>
      <w:r>
        <w:rPr>
          <w:rFonts w:ascii="Times New Roman;Times;Serif" w:hAnsi="Times New Roman;Times;Serif"/>
          <w:b w:val="false"/>
          <w:i w:val="false"/>
          <w:caps w:val="false"/>
          <w:smallCaps w:val="false"/>
          <w:sz w:val="20"/>
        </w:rPr>
        <w:t>” means all Intellectual Property owned by Parent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means the shares of Parent’s capital stock designated as preferred stock, par value $0.001 per share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Parent Restricted Stock Unit Awards</w:t>
      </w:r>
      <w:r>
        <w:rPr>
          <w:rFonts w:ascii="Times New Roman;Times;Serif" w:hAnsi="Times New Roman;Times;Serif"/>
          <w:b w:val="false"/>
          <w:i w:val="false"/>
          <w:caps w:val="false"/>
          <w:smallCaps w:val="false"/>
          <w:sz w:val="20"/>
        </w:rPr>
        <w:t>” means each award of restricted stock unit awards with respect to shares of Parent Common Stock issued pursuant to a Parent Equity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Parent Warrant</w:t>
      </w:r>
      <w:r>
        <w:rPr>
          <w:rFonts w:ascii="Times New Roman;Times;Serif" w:hAnsi="Times New Roman;Times;Serif"/>
          <w:b w:val="false"/>
          <w:i w:val="false"/>
          <w:caps w:val="false"/>
          <w:smallCaps w:val="false"/>
          <w:sz w:val="20"/>
        </w:rPr>
        <w:t>” means warrants to purchase shares of Parent Capital Stock issued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Parent Triggering Event</w:t>
      </w:r>
      <w:r>
        <w:rPr>
          <w:rFonts w:ascii="Times New Roman;Times;Serif" w:hAnsi="Times New Roman;Times;Serif"/>
          <w:b w:val="false"/>
          <w:i w:val="false"/>
          <w:caps w:val="false"/>
          <w:smallCaps w:val="false"/>
          <w:sz w:val="20"/>
        </w:rPr>
        <w:t xml:space="preserve">” shall be deemed to have occurred if: (i) Parent shall have failed to include in the Proxy Statement the Parent Board Recommendation (as defined below), (ii) the Parent Board or any committee thereof shall have made a Parent Board Adverse Recommendation Change or approved, endorsed or recommended any Acquisition Proposal, (iii) Parent shall have entered into any letter of intent or similar document or any Contract relating to any Acquisition Proposal (other than an Acceptable Confidentiality Agreement permitted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(iv)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(v)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or (vi) Parent shall have materially and willfully breached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association, trust or other entity or organization, including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a party’s directors, officers, employees, investment bankers, financial advisors, attorneys, accountants or other advisors, agents or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xml:space="preserve">” means each Contract, in form and substance as agreed to in writing between Parent and the Company, entered into on or following the date hereof and prior to the Closing pursuant to which the signatory thereto has agreed to purchase for cash shares of Parent Common Stock immediately following the Closing pursuant to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or as otherwise agreed in writing between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Subsequent Transaction</w:t>
      </w:r>
      <w:r>
        <w:rPr>
          <w:rFonts w:ascii="Times New Roman;Times;Serif" w:hAnsi="Times New Roman;Times;Serif"/>
          <w:b w:val="false"/>
          <w:i w:val="false"/>
          <w:caps w:val="false"/>
          <w:smallCaps w:val="false"/>
          <w:sz w:val="20"/>
        </w:rPr>
        <w:t>” means any Acquisition Transaction (with all references to 20% in the definition of Acquisition Transaction being treated as references to 50%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other Person of which stock or other equity interests having ordinary voting power to elect more than 50% of the board of directors or other governing body are owned, directly or indirectly, by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the Agreement, and (ii)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or additions to tax with respect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means the aggregate amount (without duplication) of all costs, fees, Taxes and expenses incurred by Parent and Merger Sub, or for which Parent or Merger Sub are or may become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(i) the amount of fees and expenses payable to financial advisors, investment bankers, legal counsel, accountants, brokers, consultants, Tax advisors, transfer agents, proxy solicitor and other advisors of Parent, including the employer portion of any payroll or similar Taxes incurred or to be incurred by Parent or Merger Sub with respect to the payment of any item listed in this definition of Transaction Expenses; (ii) 50% of the fees paid to the SEC in connection with filing the Registration Statement, the Proxy Statement, and any amendments and supplements thereto, with the SEC; (iii) 50% of the fees and expenses incurred in connection with the printing, mailing and distribution of the Registration Statement and any amendments and supplements thereto; (iv) 50% of the fees and expenses incurred in connection with the Exchange Agent; (v) 50% of the Nasdaq Fees and (vi) 100% of the fees of the Rights Agent under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val="false"/>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means a transition services agreement to be negotiated in a form and substance subject to Parent’s prior written consent, which shall not be unreasonably withheld, conditioned or delayed) pursuant to Section 7.18, the material terms of which will be substantially final on or prior to July 11, 2025, and to be entered into between the Guarantor and the Company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references to “dollars” or “$” or “US$” in this Agreement refer to United States dollars, which is the currency used for all purposes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Formation of Merger Sub</w:t>
      </w:r>
      <w:r>
        <w:rPr>
          <w:rFonts w:ascii="Times New Roman;Times;Serif" w:hAnsi="Times New Roman;Times;Serif"/>
          <w:b w:val="false"/>
          <w:i w:val="false"/>
          <w:caps w:val="false"/>
          <w:smallCaps w:val="false"/>
          <w:sz w:val="20"/>
        </w:rPr>
        <w:t>. Parent has caused Merger Sub to be organized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Effective Time, Merger Sub shall be merged with and into the Company, the separate corporate existence of Merger Sub shall cease, and the Company shall continue as the surviving company of the Merger and a wholly owned subsidiary of Parent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Unless this Agreement is earlier terminated pursuant to the provisions of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subject to the satisfaction or waiver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Upon the terms and subject to the provisions of this Agreement, at the Closing, the parties shall cause the Merger to be consummated by executing and filing a certificate of merger in a form to be mutually agreed by the parties hereto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Secretary of State of the State of Delaware (the “</w:t>
      </w:r>
      <w:r>
        <w:rPr>
          <w:rFonts w:ascii="Times New Roman;Times;Serif" w:hAnsi="Times New Roman;Times;Serif"/>
          <w:b w:val="false"/>
          <w:i w:val="false"/>
          <w:caps w:val="false"/>
          <w:smallCaps w:val="false"/>
          <w:sz w:val="20"/>
          <w:u w:val="single"/>
        </w:rPr>
        <w:t>Delaware Secretary of State</w:t>
      </w:r>
      <w:r>
        <w:rPr>
          <w:rFonts w:ascii="Times New Roman;Times;Serif" w:hAnsi="Times New Roman;Times;Serif"/>
          <w:b w:val="false"/>
          <w:i w:val="false"/>
          <w:caps w:val="false"/>
          <w:smallCaps w:val="false"/>
          <w:sz w:val="20"/>
        </w:rPr>
        <w:t>” ), in such form as is required by, and executed in accordance with the relevant provisions of the DGCL. The Merger shall become effective at the time of the filing of such Certificate of Merger with the Secretary of State of the State of Delaware or at such later time as may be specified in such Certificate of Merger (the time as of which the Merger becomes effective being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At and after the Effective Time,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Company, and all debts, liabilities and duties of the Company and Merger Sub shall become the debts, liabilities and duties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Parent 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Parent Certificate of Incorporation</w:t>
      </w:r>
      <w:r>
        <w:rPr>
          <w:rFonts w:ascii="Times New Roman;Times;Serif" w:hAnsi="Times New Roman;Times;Serif"/>
          <w:b w:val="false"/>
          <w:i w:val="false"/>
          <w:caps w:val="false"/>
          <w:smallCaps w:val="false"/>
          <w:sz w:val="20"/>
        </w:rPr>
        <w:t>. At the Effective Time, or at such other time as Parent and the Company shall agree in writing, Parent shall file an amendment to the certificate of incorporation to (i) change the name of Parent to “OrthoCellix, Inc.” or such other name as determined by the Company, (ii) increase the number of shares of Parent Capital Stock that Parent is authorized to issue to a number mutually agreed between Parent and the Company, such amount to be sufficient to allow for consummation of the Contemplated Transactions and (iii) make such other changes as mutually agreeable to Parent and the Company (such amendment, the “</w:t>
      </w:r>
      <w:r>
        <w:rPr>
          <w:rFonts w:ascii="Times New Roman;Times;Serif" w:hAnsi="Times New Roman;Times;Serif"/>
          <w:b w:val="false"/>
          <w:i w:val="false"/>
          <w:caps w:val="false"/>
          <w:smallCaps w:val="false"/>
          <w:sz w:val="20"/>
          <w:u w:val="single"/>
        </w:rPr>
        <w:t>Parent Charter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Parent Bylaws</w:t>
      </w:r>
      <w:r>
        <w:rPr>
          <w:rFonts w:ascii="Times New Roman;Times;Serif" w:hAnsi="Times New Roman;Times;Serif"/>
          <w:b w:val="false"/>
          <w:i w:val="false"/>
          <w:caps w:val="false"/>
          <w:smallCaps w:val="false"/>
          <w:sz w:val="20"/>
        </w:rPr>
        <w:t>. At the Effective Time, the bylaws of Parent shall be identical to the bylaws of Parent immediately prior to the Effective Time, until thereafter amended in accordance with their terms and as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xml:space="preserve">. The parties shall take all action necessary (including, to the extent necessary, procuring the resignation of any directors on the Parent Board immediately prior to the Effective Time) so that, as of the Effective Time, the Board of Directors shall upon the Effective Time initially include the Persons set forth on </w:t>
      </w:r>
      <w:r>
        <w:rPr>
          <w:rFonts w:ascii="Times New Roman;Times;Serif" w:hAnsi="Times New Roman;Times;Serif"/>
          <w:b w:val="false"/>
          <w:i w:val="false"/>
          <w:caps w:val="false"/>
          <w:smallCaps w:val="false"/>
          <w:sz w:val="20"/>
          <w:u w:val="single"/>
        </w:rPr>
        <w:t>Schedule 2.6(c)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Parent Officers</w:t>
      </w:r>
      <w:r>
        <w:rPr>
          <w:rFonts w:ascii="Times New Roman;Times;Serif" w:hAnsi="Times New Roman;Times;Serif"/>
          <w:b w:val="false"/>
          <w:i w:val="false"/>
          <w:caps w:val="false"/>
          <w:smallCaps w:val="false"/>
          <w:sz w:val="20"/>
        </w:rPr>
        <w:t>. The parties shall take all action necessary (including, to the extent necessary, procuring the resignation or removal of any officers of Parent immediately prior to the Effective Time) so that, as of the Effective Time, the Parent officers shall initially consist of the Persons designated by the Company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Surviving Company and Surviving Company 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Certificate of Incorporation of the Surviving Company shall, by virtue of the Merger and without any further action, be amended and restated to read in its entirety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Certificate of Merger, and, as so amended and restated, shall be the Certificate of Incorporation of the Surviving Company until thereafter amended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bylaws of the Surviving Company shall be amended and restated to read in their entirety as the bylaws of Merger Sub as in effect immediately prior to the Effective Time (except that references to the name of Merger Sub shall be replaced with references to the name of the Surviving Company), and, as so amended and restated, shall be the bylaws of the Surviving Company until thereafter amended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directors of the Surviving Company shall be such persons as are designated by the Company prior to the Effective Time, each to hold office in accordance with the certificate of incorporation and bylaws of the Surviving Company until the earlier of their resignation or removal or until their respective successors are duly elected and qualified;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officers of the Surviving Company shall be such persons as are designated by the Company prior to the Effective Time, each to hold office in accordance with the certificate of incorporation and bylaws of the Surviving Company until the earlier of their resignation or removal or until their respective successors are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EFFECT ON THE CAPITAL STOCK OF THE CONSTITUENT COMPANIES; EXCHANGE OF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Conversion of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action on the part of Parent, Merger Sub, the Company or the holders of any shares of capital stock of the Parent, Merger Sub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each share of Company Common Stock issued and outstanding immediately prior to the Effective Time (other than any Excluded Shares or Dissenting Shares) shall be converted into and become exchangeable for the right to receive, a number of shares of Parent Common Stock equal to the Exchange Ratio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 As of the Effective Time, all such shares of Company Common Stock shall no longer be outstanding and shall automatically be cancelled and shall cease to exist, and shall thereafter only represent the right to receive the Merger Consideration. For purposes of this Agreement,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shall mean the ratio (rounded to four decimal places) equal to (A) the Company Merger Shares divided by (B) the Company Outstanding Shares, in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Aggregate Valuation</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(i) the Company Valuation and (ii) the Parent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Allocation Percentage</w:t>
      </w:r>
      <w:r>
        <w:rPr>
          <w:rFonts w:ascii="Times New Roman;Times;Serif" w:hAnsi="Times New Roman;Times;Serif"/>
          <w:b w:val="false"/>
          <w:i w:val="false"/>
          <w:caps w:val="false"/>
          <w:smallCaps w:val="false"/>
          <w:sz w:val="20"/>
        </w:rPr>
        <w:t>” means the quotient (rounded to two decimal places) determined by dividing (i) the Company Valuation by (ii) the Aggregate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Merger Shares</w:t>
      </w:r>
      <w:r>
        <w:rPr>
          <w:rFonts w:ascii="Times New Roman;Times;Serif" w:hAnsi="Times New Roman;Times;Serif"/>
          <w:b w:val="false"/>
          <w:i w:val="false"/>
          <w:caps w:val="false"/>
          <w:smallCaps w:val="false"/>
          <w:sz w:val="20"/>
        </w:rPr>
        <w:t>” means (i) the product determined by multiplying (x) the Post-Closing Parent Shares by (y) the Company Allocation Percentage minus (ii) the Concurrent Investment Shares</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Outstanding Shares</w:t>
      </w:r>
      <w:r>
        <w:rPr>
          <w:rFonts w:ascii="Times New Roman;Times;Serif" w:hAnsi="Times New Roman;Times;Serif"/>
          <w:b w:val="false"/>
          <w:i w:val="false"/>
          <w:caps w:val="false"/>
          <w:smallCaps w:val="false"/>
          <w:sz w:val="20"/>
        </w:rPr>
        <w:t>” means the total number of shares of Company Common Stock outstanding immediately prior to the Effective Time, expressed on a fully diluted and as-converted-to-Company Common Stock basis assuming, without limitation or duplication the rights or commitments to receive shares of Company Common Stock (or securities convertible or exercisable into shares of Company Common Stock), whether conditional or unconditional, that are outstanding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Valuation</w:t>
      </w:r>
      <w:r>
        <w:rPr>
          <w:rFonts w:ascii="Times New Roman;Times;Serif" w:hAnsi="Times New Roman;Times;Serif"/>
          <w:b w:val="false"/>
          <w:i w:val="false"/>
          <w:caps w:val="false"/>
          <w:smallCaps w:val="false"/>
          <w:sz w:val="20"/>
        </w:rPr>
        <w:t xml:space="preserve">” means (i) $135,000,000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amount, if any, by which the Concurrent Investment Amount is less than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Concurrent Investment Shares</w:t>
      </w:r>
      <w:r>
        <w:rPr>
          <w:rFonts w:ascii="Times New Roman;Times;Serif" w:hAnsi="Times New Roman;Times;Serif"/>
          <w:b w:val="false"/>
          <w:i w:val="false"/>
          <w:caps w:val="false"/>
          <w:smallCaps w:val="false"/>
          <w:sz w:val="20"/>
        </w:rPr>
        <w:t>” means the number of shares of Parent Common Stock issued to investors in respect of the first $25,000,000 of Parent Common Stock purchased pursuant to the Concurrent Investment (or, if the aggregate amount of the Concurrent Investment is less than $25,000,000, such number of shares of Parent Common Stock issued to investors pursuant to the Concurrent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Parent Allocation Percentage</w:t>
      </w:r>
      <w:r>
        <w:rPr>
          <w:rFonts w:ascii="Times New Roman;Times;Serif" w:hAnsi="Times New Roman;Times;Serif"/>
          <w:b w:val="false"/>
          <w:i w:val="false"/>
          <w:caps w:val="false"/>
          <w:smallCaps w:val="false"/>
          <w:sz w:val="20"/>
        </w:rPr>
        <w:t>” means the quotient (rounded to two decimal places) determined by dividing (i) the Parent Valuation by (ii) the Aggregate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Parent Outstanding Shares</w:t>
      </w:r>
      <w:r>
        <w:rPr>
          <w:rFonts w:ascii="Times New Roman;Times;Serif" w:hAnsi="Times New Roman;Times;Serif"/>
          <w:b w:val="false"/>
          <w:i w:val="false"/>
          <w:caps w:val="false"/>
          <w:smallCaps w:val="false"/>
          <w:sz w:val="20"/>
        </w:rPr>
        <w:t xml:space="preserve">” means (i) the total number of shares of Parent Capital Stock outstanding immediately prior to the Effective Time (after giving effect to the Nasdaq Reverse Stock Split), assuming the exercise, conversion or exchange of all options, warrants, conversion rights, exchange rights or any other rights to receive shares of Parent Capital Stock which exist immediately prior to the Effective Time, (ii) without duplication of any amounts set forth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exercise of Parent Options outstanding as of immediately prior to the Effective Time and (iii) without duplication of any amounts set forth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settlement in shares of Parent Common Stock of Parent Restricted Stock Unit Awards outstanding as of immediately prior to the Effective Time. For the avoidance of doubt, Parent OTM Options and Parent Warrants, shall not be included in the total number of shares of Parent Capital Stock for purposes of determining the Parent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Parent Valuation</w:t>
      </w:r>
      <w:r>
        <w:rPr>
          <w:rFonts w:ascii="Times New Roman;Times;Serif" w:hAnsi="Times New Roman;Times;Serif"/>
          <w:b w:val="false"/>
          <w:i w:val="false"/>
          <w:caps w:val="false"/>
          <w:smallCaps w:val="false"/>
          <w:sz w:val="20"/>
        </w:rPr>
        <w:t>” means (i) $15,000,000, minus (ii) the amount by which Net Cash is less than $0 (if any) and plus (iii) the amount by which Net Cash is more than $0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Parent Value Per Share</w:t>
      </w:r>
      <w:r>
        <w:rPr>
          <w:rFonts w:ascii="Times New Roman;Times;Serif" w:hAnsi="Times New Roman;Times;Serif"/>
          <w:b w:val="false"/>
          <w:i w:val="false"/>
          <w:caps w:val="false"/>
          <w:smallCaps w:val="false"/>
          <w:sz w:val="20"/>
        </w:rPr>
        <w:t>” equals the Parent Valuation divided by the number of Parent Outstanding Shares (rounded to four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Post-Closing Parent Shares</w:t>
      </w:r>
      <w:r>
        <w:rPr>
          <w:rFonts w:ascii="Times New Roman;Times;Serif" w:hAnsi="Times New Roman;Times;Serif"/>
          <w:b w:val="false"/>
          <w:i w:val="false"/>
          <w:caps w:val="false"/>
          <w:smallCaps w:val="false"/>
          <w:sz w:val="20"/>
        </w:rPr>
        <w:t>” means the quotient determined by dividing (i) the Parent Outstanding Shares by (ii) the Parent Allocation Percentage. For the avoidance of doubt, the Post-Closing Parent Shares shall include the Concurrent Investment Shares but shall exclude any shares issued pursuant to the Concurrent Investment in excess of the Concurrent Investment Shares.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and for illustrative purposes only, sample “Exchange Ratio”, “Company Valuation” and “Parent Valuation” calculations are set forth on </w:t>
      </w:r>
      <w:r>
        <w:rPr>
          <w:rFonts w:ascii="Times New Roman;Times;Serif" w:hAnsi="Times New Roman;Times;Serif"/>
          <w:b w:val="false"/>
          <w:i w:val="false"/>
          <w:caps w:val="false"/>
          <w:smallCaps w:val="false"/>
          <w:sz w:val="20"/>
          <w:u w:val="single"/>
        </w:rPr>
        <w:t>Section 3.1(a)(i)(F)</w:t>
      </w:r>
      <w:r>
        <w:rPr>
          <w:rFonts w:ascii="Times New Roman;Times;Serif" w:hAnsi="Times New Roman;Times;Serif"/>
          <w:b w:val="false"/>
          <w:i w:val="false"/>
          <w:caps w:val="false"/>
          <w:smallCaps w:val="false"/>
          <w:sz w:val="20"/>
        </w:rPr>
        <w:t>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Effective Time, each share of Parent Capital Stock issued and outstanding immediately prior to the Effective Time shall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share of Company Common Stock held in the treasury of the Company or owned, directly or indirectly, by Parent or Merger Sub immediately prior to the Effective Time (collectively, “</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shall automatically be cancelled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share of common stock, par value $0.001 per share, of Merger Sub issued and outstanding immediately prior to the Effective Time shall be converted into and become one validly issued, fully paid and non-assessable share of common stock, par value $0.001 per share,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between the date of this Agreement and the Effective Time, the outstanding Company Common Stock or Parent Capital Stock shall have been changed into, or exchanged for, a different number of shares or a different class, by reason of any stock dividend, subdivision, reclassification, recapitalization (including the Nasdaq Reverse Stock Split to the extent such split has not previously been taken into account in calculating the Exchange Ratio), split, combination or exchange of shares or other like change, the Exchange Ratio shall, to the extent necessary, be equitably adjusted to reflect such change to the extent necessary to provide the holders of Company Common Stock, and Parent Capital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Common Stock or Parent Capital Stock, respectively, that is prohibited or not expressly permitted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Exchange and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issue and deposit (or cause to be deposited) with a bank or trust company mutually agreed upon by the Company and Parent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in trust for the benefit of holders of shares of Company Common Stock immediately prior to the Effective Time (other than holders to the extent they hold Excluded Shares or Dissenting Shares), book-entry shares (or certificates if requested) representing the shares of Parent Capital Stock issuable pursuant to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 xml:space="preserve">. In addition, Parent shall make available by depositing with the Exchange Agent, as necessary from time to time after the Effective Time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All certificates representing shares of Parent Capital Stock, and any dividends, distributions and cash deposited with the Exchange Agent are hereinafter referred to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reasonably practicable after the Effective Time and in any event not later than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Closing Date, the parties shall cause the Exchange Agent to mail to each holder of record of a certificate that immediately prior to the Effective Time represented outstanding shares of Company Common Stock (collectively,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and to each holder of record of uncertificated shares of Company Common Stock represented by book entry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xml:space="preserve">”) that were converted into the right to receive the Merger Consideration (together with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xml:space="preserve">), (i) a form of letter of transmittal (which shall specify that delivery shall be effected, and risk of loss and title to any 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xml:space="preserve">).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Capital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 xml:space="preserve"> (which shall be in uncertificated book-entry form unless a physical certificate is requested), and (B)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xml:space="preserve">,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each Certificate or Book-Entry Share shall be deemed after the Effective Time to represent only the right to receive the Merger Consideration payable in respect thereof (together with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No dividends or other distributions with respect to Parent Capital Stock with a record date after the Effective Time shall be paid to the holder of any unsurrendered Certificate with respect to the shares of Parent Capital Stock that the holder thereof has the right to receive upon the surrender thereof until the holder thereof shall surrender such Certificate in accordance with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Following the surrender of a Certificate in accordance with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there shall be paid to the record holder thereof, without interest, (A) promptly after such surrender, the amount of any dividends or other distributions with a record date after the Effective Time theretofore paid with respect to such whole shares of Parent Capital Stock, and (B) at the appropriate payment date, the amount of dividends or other distributions with a record date after the Effective Time but prior to such surrender and a payment date subsequent to such surrender payable with respect to such whole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Holders of Book-Entry Shares who are entitled to receive shares of Parent Capital Stock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be paid (A) at the time of payment of such Parent Capital Stock by the Exchange Agent under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amount of dividends or other distributions with a record date after the Effective Time theretofore paid with respect to such whole shares of Parent Capital Stock, and (B) at the appropriate payment date, the amount of dividends or other distributions with a record date after the Effective Time but prior to the time of such payment by the Exchange Agent under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a payment date subsequent to the time of such payment by the Exchange Agent under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payable with respect to such whole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Merger Consideration (together with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xml:space="preserve">)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fractional shares of Parent Capital Stock shall be issued in connection with the Merger, and no certificates or scrip for any such fractional shares shall be issued. For purposes of calculating the Merger Consideration issuable to each holder of Company Common Stock, the number of shares of Company Common Stock to be issued shall be rounded down to the nearest whole number (without any consideration payable for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portion of the Exchange Fund that remains undistributed to the holders of Certificates or Book-Entry Shares six months after the Effective Time shall be delivered to the Surviving Company, upon demand, and any remaining holders of Certificates or Book-Entry Shares (except to the extent representing Excluded Shares or Dissenting Shares) shall thereafter look only to the Surviving Company, as general creditors thereof, for payment of the Merger Consideration (together with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(subject to abandoned property, escheat or other similar laws),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Parent, the Surviving Company, the Exchange Agent or any other Person shall be liable to any Person in respect of shares of Parent Capital Stock, dividends or other distributions with respect thereto properly delivered to a public official pursuant to any applicable abandoned property, escheat or similar Law. If any Certificates or Book-Entry Shares shall not have been exchanged prior to two years after the Effective Time (or immediately prior to such earlier date on which the related Merger Consideration (and all dividends or other distributions with respect to shares of Parent Capital Stock) would otherwise escheat to or become the property of any Governmental Entity), any such Merger Consideration (and such dividends, distributions and cash) in respect thereof shall, to the extent permitted by applicable Law, become the property of the Surviving Company, free and clear of all claims or interest of any Person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Company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Parent, the Surviving Company and the Exchange Agent (each, a “</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The Withholding Agent shall use commercially reasonable efforts to (i) notify each holder of Company Common Stock at least five (5) Business Days prior to deducting or withholding any amounts of its intent to deduct and withhold and (ii) cooperate with such holder to minimize any such deductions and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Notwithstanding anything in this Agreement to the contrary, each share of the Company Common Stock (other than Excluded Shares) outstanding immediately prior to the Effective Time and held by a holder who is entitled to demand and has properly demanded appraisal for such shares of the Company Common Stock in accordance with Section 262 of the DGCL and, as of the Effective Time, have neither effectively withdrawn nor lost their rights to such appraisal and payment under the DGCL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Effective Time, any such holder fails to perfect or withdraws or loses such holder’s right to appraisal, such Dissenting Shares shall thereupon be treated as if they had been converted as of the Effective Time into the right to receive the portion of the Merger Consideration, if any, to which such holder is entitled pursuant to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 without interest. The Company shall give Parent (a) prompt notice of any demands received by the Company for appraisal of any shares of the Company Common Stock issued and outstanding immediately prior to the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Calculation of Net Cash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less than five (5) Business Days prior to the anticipated date for the Parent Stockholder Meeting as mutually agreed in good faith by Parent and the Company (the “</w:t>
      </w:r>
      <w:r>
        <w:rPr>
          <w:rFonts w:ascii="Times New Roman;Times;Serif" w:hAnsi="Times New Roman;Times;Serif"/>
          <w:b w:val="false"/>
          <w:i w:val="false"/>
          <w:caps w:val="false"/>
          <w:smallCaps w:val="false"/>
          <w:sz w:val="20"/>
          <w:u w:val="single"/>
        </w:rPr>
        <w:t>Anticipated Meeting Date</w:t>
      </w:r>
      <w:r>
        <w:rPr>
          <w:rFonts w:ascii="Times New Roman;Times;Serif" w:hAnsi="Times New Roman;Times;Serif"/>
          <w:b w:val="false"/>
          <w:i w:val="false"/>
          <w:caps w:val="false"/>
          <w:smallCaps w:val="false"/>
          <w:sz w:val="20"/>
        </w:rPr>
        <w:t>”), Parent will deliver to the Company a certificate signed by an officer of Parent in the form reasonably acceptable to the Company setting forth a schedule (the “</w:t>
      </w:r>
      <w:r>
        <w:rPr>
          <w:rFonts w:ascii="Times New Roman;Times;Serif" w:hAnsi="Times New Roman;Times;Serif"/>
          <w:b w:val="false"/>
          <w:i w:val="false"/>
          <w:caps w:val="false"/>
          <w:smallCaps w:val="false"/>
          <w:sz w:val="20"/>
          <w:u w:val="single"/>
        </w:rPr>
        <w:t>Parent Net Cash Schedule</w:t>
      </w:r>
      <w:r>
        <w:rPr>
          <w:rFonts w:ascii="Times New Roman;Times;Serif" w:hAnsi="Times New Roman;Times;Serif"/>
          <w:b w:val="false"/>
          <w:i w:val="false"/>
          <w:caps w:val="false"/>
          <w:smallCaps w:val="false"/>
          <w:sz w:val="20"/>
        </w:rPr>
        <w:t>” , and the date of delivery of the Parent Net Cash Schedule, the “</w:t>
      </w:r>
      <w:r>
        <w:rPr>
          <w:rFonts w:ascii="Times New Roman;Times;Serif" w:hAnsi="Times New Roman;Times;Serif"/>
          <w:b w:val="false"/>
          <w:i w:val="false"/>
          <w:caps w:val="false"/>
          <w:smallCaps w:val="false"/>
          <w:sz w:val="20"/>
          <w:u w:val="single"/>
        </w:rPr>
        <w:t>Delivery Date</w:t>
      </w:r>
      <w:r>
        <w:rPr>
          <w:rFonts w:ascii="Times New Roman;Times;Serif" w:hAnsi="Times New Roman;Times;Serif"/>
          <w:b w:val="false"/>
          <w:i w:val="false"/>
          <w:caps w:val="false"/>
          <w:smallCaps w:val="false"/>
          <w:sz w:val="20"/>
        </w:rPr>
        <w:t>”) setting forth, in reasonable detail, Parent’s good faith, estimated calculation of Net Cash (the “</w:t>
      </w:r>
      <w:r>
        <w:rPr>
          <w:rFonts w:ascii="Times New Roman;Times;Serif" w:hAnsi="Times New Roman;Times;Serif"/>
          <w:b w:val="false"/>
          <w:i w:val="false"/>
          <w:caps w:val="false"/>
          <w:smallCaps w:val="false"/>
          <w:sz w:val="20"/>
          <w:u w:val="single"/>
        </w:rPr>
        <w:t>Parent Net Cash Calculation</w:t>
      </w:r>
      <w:r>
        <w:rPr>
          <w:rFonts w:ascii="Times New Roman;Times;Serif" w:hAnsi="Times New Roman;Times;Serif"/>
          <w:b w:val="false"/>
          <w:i w:val="false"/>
          <w:caps w:val="false"/>
          <w:smallCaps w:val="false"/>
          <w:sz w:val="20"/>
        </w:rPr>
        <w:t>”) as of the close of business on the Closing Date (the “</w:t>
      </w:r>
      <w:r>
        <w:rPr>
          <w:rFonts w:ascii="Times New Roman;Times;Serif" w:hAnsi="Times New Roman;Times;Serif"/>
          <w:b w:val="false"/>
          <w:i w:val="false"/>
          <w:caps w:val="false"/>
          <w:smallCaps w:val="false"/>
          <w:sz w:val="20"/>
          <w:u w:val="single"/>
        </w:rPr>
        <w:t>Cash Determination Time</w:t>
      </w:r>
      <w:r>
        <w:rPr>
          <w:rFonts w:ascii="Times New Roman;Times;Serif" w:hAnsi="Times New Roman;Times;Serif"/>
          <w:b w:val="false"/>
          <w:i w:val="false"/>
          <w:caps w:val="false"/>
          <w:smallCaps w:val="false"/>
          <w:sz w:val="20"/>
        </w:rPr>
        <w:t>”) prepared and certified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(including all relevant invoices and similar evidence of outstanding obligations) used or useful in preparing the Parent Net Cash Schedule and, if reasonably requested by the Company, Parent’s internal finance personnel, accountants and counsel at reasonable times and upon reasonable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three (3) Business Days after the Delivery Date (the last day of such period, the “</w:t>
      </w:r>
      <w:r>
        <w:rPr>
          <w:rFonts w:ascii="Times New Roman;Times;Serif" w:hAnsi="Times New Roman;Times;Serif"/>
          <w:b w:val="false"/>
          <w:i w:val="false"/>
          <w:caps w:val="false"/>
          <w:smallCaps w:val="false"/>
          <w:sz w:val="20"/>
          <w:u w:val="single"/>
        </w:rPr>
        <w:t>Response Date</w:t>
      </w:r>
      <w:r>
        <w:rPr>
          <w:rFonts w:ascii="Times New Roman;Times;Serif" w:hAnsi="Times New Roman;Times;Serif"/>
          <w:b w:val="false"/>
          <w:i w:val="false"/>
          <w:caps w:val="false"/>
          <w:smallCaps w:val="false"/>
          <w:sz w:val="20"/>
        </w:rPr>
        <w:t>”), the Company shall have the right to dispute any part of the Parent Net Cash Calculation by delivering a written notice to that effect to Parent (a “</w:t>
      </w:r>
      <w:r>
        <w:rPr>
          <w:rFonts w:ascii="Times New Roman;Times;Serif" w:hAnsi="Times New Roman;Times;Serif"/>
          <w:b w:val="false"/>
          <w:i w:val="false"/>
          <w:caps w:val="false"/>
          <w:smallCaps w:val="false"/>
          <w:sz w:val="20"/>
          <w:u w:val="single"/>
        </w:rPr>
        <w:t>Dispute Notice</w:t>
      </w:r>
      <w:r>
        <w:rPr>
          <w:rFonts w:ascii="Times New Roman;Times;Serif" w:hAnsi="Times New Roman;Times;Serif"/>
          <w:b w:val="false"/>
          <w:i w:val="false"/>
          <w:caps w:val="false"/>
          <w:smallCaps w:val="false"/>
          <w:sz w:val="20"/>
        </w:rPr>
        <w:t>”). Any Dispute Notice shall identify in reasonable detail and, to the extent known, the nature and amounts of any proposed revisions to the Parent Net Cash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on or prior to the Response Date, the Company notifies Parent in writing that it has no objections to the Parent Net Cash Calculation or, if prior to 11:59 p.m. (Eastern time) on the Response Date, the Company fails to deliver a Dispute Notice as provided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then the Parent Net Cash Calculation as set forth in the Parent Net Cash Schedule shall be deemed to have been finally determined for purposes of this Agreement and to represent the Net Cash at the Cash Determination Time (the “</w:t>
      </w:r>
      <w:r>
        <w:rPr>
          <w:rFonts w:ascii="Times New Roman;Times;Serif" w:hAnsi="Times New Roman;Times;Serif"/>
          <w:b w:val="false"/>
          <w:i w:val="false"/>
          <w:caps w:val="false"/>
          <w:smallCaps w:val="false"/>
          <w:sz w:val="20"/>
          <w:u w:val="single"/>
        </w:rPr>
        <w:t>Final Parent Net Cash</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delivers a Dispute Notice on or prior to 11:59 p.m. (Eastern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Representatives of Parent and the Company are unable to resolve the disputed items pursuant to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(provided that if the parties are unable to select an independent auditor within five (5) days, then either Parent or the Company may thereafter request that the Philadelphia, Pennsylvania Office of the American Arbitration Association (“</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make such selection (either the independent auditor jointly selected by both parties or such independent auditor selected by the AAA,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(absent manifest error)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shall be deducted from the final determination of the amount of Net Cash, to the extent of available amounts. If this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applies as to the determination of the Final Parent Net Cash described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upon resolution of the matter in accordance with this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the parties shall not be required to determine the Net Cash again even though the Closing Date may occur later than the Anticipated Meeting Date. Notwithstanding anything else in this Agreement, Parent shall redetermine the Final Parent Net Cash if the Closing Date is more than ten calendar days after the Anticipated Meeting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Contingent Value Right</w:t>
      </w:r>
      <w:r>
        <w:rPr>
          <w:rFonts w:ascii="Times New Roman;Times;Serif" w:hAnsi="Times New Roman;Times;Serif"/>
          <w:b w:val="false"/>
          <w:i w:val="false"/>
          <w:caps w:val="false"/>
          <w:smallCaps w:val="false"/>
          <w:sz w:val="20"/>
        </w:rPr>
        <w:t>. Prior to the Effective Time, Parent shall declare a distribution (the “</w:t>
      </w:r>
      <w:r>
        <w:rPr>
          <w:rFonts w:ascii="Times New Roman;Times;Serif" w:hAnsi="Times New Roman;Times;Serif"/>
          <w:b w:val="false"/>
          <w:i w:val="false"/>
          <w:caps w:val="false"/>
          <w:smallCaps w:val="false"/>
          <w:sz w:val="20"/>
          <w:u w:val="single"/>
        </w:rPr>
        <w:t>Pre-Closing Distribution</w:t>
      </w:r>
      <w:r>
        <w:rPr>
          <w:rFonts w:ascii="Times New Roman;Times;Serif" w:hAnsi="Times New Roman;Times;Serif"/>
          <w:b w:val="false"/>
          <w:i w:val="false"/>
          <w:caps w:val="false"/>
          <w:smallCaps w:val="false"/>
          <w:sz w:val="20"/>
        </w:rPr>
        <w:t>”) to holders of Parent Common Stock of record the right to receive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xml:space="preserve">”) for each outstanding share of Parent Common Stock held by such stockholder as of such date,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to be entered into between Parent and Computershare (or such other nationally recognized rights agent agreed to between Parent and the Company)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with such revisions thereto requested by the Rights Agent that are not, individually or in the aggregate, materially detrimental to the holders of CVRs and reasonably acceptable to Parent and the Company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The record date for the Pre-Closing Distribution shall be the close of business on the last Business Day prior to the day on which the Effective Time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corresponding section or subsection of the disclosure letter delivered by the Company to Parent (the “</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each of the Company and Guarantor represents and warrants to Parent and Merger Sub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Organization, Standing and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as currently contemplated to be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event, change, circumstance, occurrence, effect or state of facts that (A) is or would reasonably be expected to be materially adverse to the business, assets, liabilities, financial condition, or results of operations of the Company, taken as a whole, or (B) materially impairs the ability of the Company to consummate the Merger or any of the other Contemplated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 (A) only, Material Adverse Effect shall not include any event, change, circumstance, occurrence, effect or state of facts to the extent resulting from (1) changes or conditions generally affecting the industries in which the Company operates,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or any worsening of the foregoing, or any declaration of martial law, quarantine or similar directive, policy or guidance or Law or other action by any Governmental Entity in response thereto, (3) changes in Law or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or the interpretation or enforcement thereof or (4) the public announcement or pendency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clauses (1), (2) and (3), the impact of such event, change, circumstance, occurrence, effect or state of facts is not disproportionately adverse to the Company as compared to other participants in the industries in which the Company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previously made available to Parent true and complete copies of the Company’s Certificate of Incorporation (the “</w:t>
      </w:r>
      <w:r>
        <w:rPr>
          <w:rFonts w:ascii="Times New Roman;Times;Serif" w:hAnsi="Times New Roman;Times;Serif"/>
          <w:b w:val="false"/>
          <w:i w:val="false"/>
          <w:caps w:val="false"/>
          <w:smallCaps w:val="false"/>
          <w:sz w:val="20"/>
          <w:u w:val="single"/>
        </w:rPr>
        <w:t>Company Charter</w:t>
      </w:r>
      <w:r>
        <w:rPr>
          <w:rFonts w:ascii="Times New Roman;Times;Serif" w:hAnsi="Times New Roman;Times;Serif"/>
          <w:b w:val="false"/>
          <w:i w:val="false"/>
          <w:caps w:val="false"/>
          <w:smallCaps w:val="false"/>
          <w:sz w:val="20"/>
        </w:rPr>
        <w:t>”) and bylaws (the “</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in each case as amended to the date of this Agreement, and each as so delivered is in full force and effect. The Company is not in violation of any provision of its Certificate of Incorporation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the Company consists of 1,000 shares of Company Common Stock. (i) 1,000 shares of Company Common Stock (excluding treasury shares) are issued and outstanding, all of which are owned by Guarantor, and (ii) no shares of Company Common Stock are held by the Company in its treasury. All outstanding shares of capital stock of the Company are duly authorized, validly issued, fully paid and nonassessable and not subject to any preemptive rights. The Company does not have any outstanding bonds, debentures, notes or other obligations having the right to vote (or convertible into, or exchangeable or exercisable for, securities having the right to vote) with the stockholders of the Company on any matter. Except as set forth above in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the Company does not have any outstanding (A) shares of capital stock or other voting securities or equity interests of the Company,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clause (C), or (E) 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or Guarantor is a party or of which the Company or Guarantor has knowledge with respect to the holding, voting, registration, redemption, repurchase or disposition of, or that restricts the transfer of, any capital stock or other voting securities or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hereof, there are no outstanding options or other similar rights to purchase or receive shares of Company Common Stock or similar rights with respect to any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 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necessary corporate power and authority to execute, deliver and perform its obligations under this Agreement and to consummate the Contemplated Transactions. The execution, delivery and performance of this Agreement by the Company and the consummation by the Company of the Contemplated Transactions have been duly authorized by all necessary corporate action on the part of the Company and no other corporate proceedings on the part of the Company are necessary to approve this Agreement or to consummate the Merger and the other Contemplated Transactions, subject, in the case of the consummation of the Merger, to receipt of the Company Stockholder Approval.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Board has (i) determined that the Contemplated Transactions are fair to, advisable and in the best interests of the Company and its sole stockholder, (ii) approved and declared advisable this Agreement and the Contemplated Transactions, (iii) determined to recommend, upon the terms and subject to the conditions set forth in this Agreement, that the sole stockholder of the Company vote to adopt this Agreement and thereby approve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Stockholder Approval is the only vote of the holders of any class or series of the Company Common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Contemplated Transactions to be consummated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No Conflict; Consents and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of the Company Disclosure Letter, the execution, delivery and performance of this Agreement by the Company does not, and the consummation of the Merger and the other Contemplated Transactions (including the Contribution)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obligation, arrangement, understanding, undertaking, permit, concession or franchise, whether oral or written (each, including all amendments thereto, a “</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xml:space="preserve">”) to which the Company is a party or by which the Company or any of its properties or assets may be bound or (iii) subject to the governmental filings and other matters referred to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 any federal, state, local or foreign law (including common law), statute, ordinance, rule, code, regulation, order, judgment, injunction, decree or other legally enforceable requirement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applicable to the Company or by which the Company or any of its properties or assets may be bound, except as, in the case of clause (iii), as individually or in the aggregate, has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approval, order or authorization of, or registration, declaration, filing with or notice to, any federal, state, local or foreign government or subdivision thereof or any other governmental, administrative, judicial, arbitral, legislative, executive, regulatory or self-regulatory authority, instrumentality, agency, commission or body (each,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is required by or with respect to the Company in connection with the execution, delivery and performance of this Agreement by the Company or the consummation by the Company of the Merger and the other Contemplated Transactions or compliance with the provisions hereof, except for (i) the filing with the SEC of such reports under Section 13(a) or 15(d)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as may be required in connection with this Agreement and the Contemplated Transactions, (ii) such other filings and reports as may be required pursuant to the applicable requirements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Exchange Act and any other applicable state or federal securities, takeover and “blue sky” laws, (iii) the filing of the Certificate of Merger with the Delaware Secretary of State as required by the DGCL, and (iv) such other consents, approvals, orders, authorizations, registrations, declarations, filings or notices the failure of which to be obtained or made, individually or in the aggregate, have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Closing, the Company will have made available to the Parent true and correct copies of the Company Audited Financial Statements and the Company Interim Financial Statements. Each of the Company Audited Financial Statements and the Company Interim Financial Statements (i) will be, as of the Closing, correct and complete in all material respects and have been prepared in accordance with the books and records of the Company; (ii) will have been prepared in accordance with GAAP applied on a consistent basis throughout the periods indicated (except as may be indicated in the notes thereto); and (iii) will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and to the extent adequately accrued or reserved against in the balance sheet set forth in the Company Audited Financial Statements,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Audited Financial Statements, that are not, individually or in the aggregate, material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The Company does not have any liabilities or obligations of any nature, whether accrued, absolute, contingent or otherwise, known or unknown, whether due or to become due and whether or not required to be recorded or reflected on a balance sheet under GAAP, except for liabilities and obligations incurred in the ordinary course of business consistent with past practice (none of which is a liability for a breach or default under any contract, breach of warranty, tort, infringement, misappropriation or violation of law) that are not individually or in the aggregate material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of the Company Disclosure Letter, since June 19, 2025: (i) except in connection with the execution of this Agreement and the consummation of the Contemplated Transactions, the Company has conducted their business only in the ordinary course consistent with past practice and consistent with the business of the Company as currently contemplated to be conducted; (ii) there has not been any change, event or development or prospective change, event or development that, individually or in the aggregate, has had or would reasonably be expected to have a Material Adverse Effect; and (iii) the Company has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amended or otherwise changed, or authorized or proposed to amend or otherwise change, its certificate of incorporation or by-laws (or similar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issued, granted, promised or otherwise committed to issue, any Company Common Stock or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sold, leased, licensed or otherwise disposed of any of its assets or properties, or grant any Lien with respect to such assets or properties, including with respect to any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adopted or entered into a plan of complete or partial liquidation, dissolution, restructuring, recapitalization or reorganization;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changed its financial or Tax accounting methods, principles or practices, except insofar as may have been required by a change in GAAP or applicable Law, or revalued any of its material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claim, arbitration, investigation, inquiry, grievance or other proceeding (each,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(or basis therefor) pending or, to the knowledge of the Company, threatened against or affecting the Company, its properties or assets, or any present or former officer, director or employee of the Company in such individual’s capacity as such, other than any Action that (a) does not involve an amount in controversy in excess of $100,000 and (b) does not seek injunctive or other non-monetary relief. The Company’s properties and assets are not subject to any outstanding judgment, order, injunction, rule or decree of any Governmental Entity. There is no Action pending or, to the knowledge of the Company, threatened seeking to prevent, hinder, modify, delay or challenge the Merger or any of the other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has been in compliance in all material respects with all Laws applicable to their businesses, operations, properties or assets. Neither Guarantor nor the Company has received, since January 1, 2022 a notice or other written communication alleging or relating to a possible material violation of any Law applicable to their businesses, operations, properties, assets or Company Products (as defined below). The Company has in effect all material permits, licenses, variances, exemptions, applications, approvals, clearances, authorizations, registrations, formulary listings, consents, operating certificates, franchises, orders and approvals (collectively,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of all Governmental Entities necessary or advisable for them to own, lease or operate its properties and assets and to carry on its businesses and operations as now conducted and as currently contemplated to be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Health Care Regulatory Matters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Guarantor, and to the knowledge of the Company, each of its directors, officers, management employees, agents (while acting in such capacity), contract manufacturers, suppliers, and distributors are, and since January 1, 2022 has been, in material compliance with all health care laws to the extent applicable to the Company or any of its products or activities, including, but not limited to the following: the Federal Food, Drug &amp; Cosmetic Act (“</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the Public Health Service Act (42 U.S.C. § 201 et seq.), including the Clinical Laboratory Improvement Amendments of 1988 (42 U.S.C. § 263a); the Federal Trade Commission Act (15 U.S.C. § 41 et seq.); the Controlled Substances Act (21 U.S.C. § 801 et seq.); the federal Anti-Kickback Statute (42 U.S.C. § 1320a-7b(b)); the civil monetary penalties law (42 U.S.C. § 1320a-7a); the civil False Claims Act (31 U.S.C. § 3729 et seq.); the administrative False Claims Law (42 U.S.C. § 1320a-7b(a)); the Stark law (42 U.S.C. § 1395nn); the Criminal Health Care Fraud Statute (18 U.S.C. § 1347); the exclusion laws (42 U.S.C. § 1320a-7); Medicare (Title XVIII of the Social Security Act); Medicaid (Title XIX of the Social Security Act); any regulations promulgated pursuant to such laws; and any other state, federal or ex-U.S. laws or regulations governing the manufacturing, development, testing, labeling, advertising, marketing or distribution of drug, biologic and medical device products,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 products or services, to the extent applicable to the Company (“</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To the knowledge of the Company, there are no facts or circumstances that reasonably would be expected to give rise to any material liability under any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not party to any material corporate integrity agreements, monitoring agreements, consent decrees, settlement orders, or similar agreements with or imposed by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or other Governmental Entity relating to products that are regulated as drugs, medical devices, or other healthcare products under Health Care Laws, including drugs or medical devices, compounds or products being researched, tested, stored, developed, labeled, manufactured, packed, imported, exported and/or distributed by the Company (“</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FA or such other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preclinical studies and clinical trials conducted by or, to the knowledge of the Company, on behalf of the Company have been, and if still pending are being, conducted in compliance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System (QS) regulations at 21 C.F.R. Part 820 and all comparable foreign regulatory requirements of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Times;Serif" w:hAnsi="Times New Roman;Times;Serif"/>
          <w:b w:val="false"/>
          <w:i w:val="false"/>
          <w:caps w:val="false"/>
          <w:smallCaps w:val="false"/>
          <w:sz w:val="20"/>
          <w:u w:val="single"/>
        </w:rPr>
        <w:t>Section 4.11(f)</w:t>
      </w:r>
      <w:r>
        <w:rPr>
          <w:rFonts w:ascii="Times New Roman;Times;Serif" w:hAnsi="Times New Roman;Times;Serif"/>
          <w:b w:val="false"/>
          <w:i w:val="false"/>
          <w:caps w:val="false"/>
          <w:smallCaps w:val="false"/>
          <w:sz w:val="20"/>
        </w:rPr>
        <w:t> of the Company Disclosure Letter have been resolved to the satisfaction of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Times;Serif" w:hAnsi="Times New Roman;Times;Serif"/>
          <w:b w:val="false"/>
          <w:i w:val="false"/>
          <w:caps w:val="false"/>
          <w:smallCaps w:val="false"/>
          <w:sz w:val="20"/>
          <w:u w:val="single"/>
        </w:rPr>
        <w:t>Safety Notices</w:t>
      </w:r>
      <w:r>
        <w:rPr>
          <w:rFonts w:ascii="Times New Roman;Times;Serif" w:hAnsi="Times New Roman;Times;Serif"/>
          <w:b w:val="false"/>
          <w:i w:val="false"/>
          <w:caps w:val="false"/>
          <w:smallCaps w:val="false"/>
          <w:sz w:val="20"/>
        </w:rPr>
        <w:t xml:space="preserve">”). All Safety Notices listed in </w:t>
      </w:r>
      <w:r>
        <w:rPr>
          <w:rFonts w:ascii="Times New Roman;Times;Serif" w:hAnsi="Times New Roman;Times;Serif"/>
          <w:b w:val="false"/>
          <w:i w:val="false"/>
          <w:caps w:val="false"/>
          <w:smallCaps w:val="false"/>
          <w:sz w:val="20"/>
          <w:u w:val="single"/>
        </w:rPr>
        <w:t>Section 4.11(g)</w:t>
      </w:r>
      <w:r>
        <w:rPr>
          <w:rFonts w:ascii="Times New Roman;Times;Serif" w:hAnsi="Times New Roman;Times;Serif"/>
          <w:b w:val="false"/>
          <w:i w:val="false"/>
          <w:caps w:val="false"/>
          <w:smallCaps w:val="false"/>
          <w:sz w:val="20"/>
        </w:rPr>
        <w:t> of the Company Disclosure Letter have been resolved to the satisfaction of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in </w:t>
      </w:r>
      <w:r>
        <w:rPr>
          <w:rFonts w:ascii="Times New Roman;Times;Serif" w:hAnsi="Times New Roman;Times;Serif"/>
          <w:b w:val="false"/>
          <w:i w:val="false"/>
          <w:caps w:val="false"/>
          <w:smallCaps w:val="false"/>
          <w:sz w:val="20"/>
          <w:u w:val="single"/>
        </w:rPr>
        <w:t>Section 4.11(h)</w:t>
      </w:r>
      <w:r>
        <w:rPr>
          <w:rFonts w:ascii="Times New Roman;Times;Serif" w:hAnsi="Times New Roman;Times;Serif"/>
          <w:b w:val="false"/>
          <w:i w:val="false"/>
          <w:caps w:val="false"/>
          <w:smallCaps w:val="false"/>
          <w:sz w:val="20"/>
        </w:rPr>
        <w:t>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to the knowledge of the Company, any officer, employee, agent, or distributor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respecting “Fraud, Untrue Statements of Material Facts, Bribery, and Illegal Gratuities” Final Policy set forth in 56 Fed. Reg. 46191 (September 10, 1991) and any amendments thereto (the “</w:t>
      </w:r>
      <w:r>
        <w:rPr>
          <w:rFonts w:ascii="Times New Roman;Times;Serif" w:hAnsi="Times New Roman;Times;Serif"/>
          <w:b w:val="false"/>
          <w:i w:val="false"/>
          <w:caps w:val="false"/>
          <w:smallCaps w:val="false"/>
          <w:sz w:val="20"/>
          <w:u w:val="single"/>
        </w:rPr>
        <w:t>FDA Ethics Policy</w:t>
      </w:r>
      <w:r>
        <w:rPr>
          <w:rFonts w:ascii="Times New Roman;Times;Serif" w:hAnsi="Times New Roman;Times;Serif"/>
          <w:b w:val="false"/>
          <w:i w:val="false"/>
          <w:caps w:val="false"/>
          <w:smallCaps w:val="false"/>
          <w:sz w:val="20"/>
        </w:rPr>
        <w:t>”). None of the aforementioned is or has been under investigation resulting from any allegedly untrue, fraudulent, misleading, or false statement or omission, including data fraud, or had any action pending or threatened relating to the FDA Ethics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reports, documents, claims, Permits and notices required to be filed, maintained or furnished to the FDA or any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to the knowledge of the Company, any officer, employee, agent, or distributor of the Company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Company Products are sold or intended to be sold. Neither the Company nor, to the knowledge of the Company, any officer, employee, agent or distributor of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the Company does not have any Employee Plans or employees, independent contractors, consultants, temporary employees, leased employees or other agents employed or used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4.12(a) </w:t>
      </w:r>
      <w:r>
        <w:rPr>
          <w:rFonts w:ascii="Times New Roman;Times;Serif" w:hAnsi="Times New Roman;Times;Serif"/>
          <w:b w:val="false"/>
          <w:i w:val="false"/>
          <w:caps w:val="false"/>
          <w:smallCaps w:val="false"/>
          <w:sz w:val="20"/>
        </w:rPr>
        <w:t>of the Company Disclosure Letter contains a true, correct, and complete list of each material Company Plan, specifying thereon the Company Plans that cover employees of and individual independent contractors (including those who work through substantially owned entities) that provide services to the Company or that will be or are reasonably likely to be assigned to the Company (together, “</w:t>
      </w:r>
      <w:r>
        <w:rPr>
          <w:rFonts w:ascii="Times New Roman;Times;Serif" w:hAnsi="Times New Roman;Times;Serif"/>
          <w:b w:val="false"/>
          <w:i w:val="false"/>
          <w:caps w:val="false"/>
          <w:smallCaps w:val="false"/>
          <w:sz w:val="20"/>
          <w:u w:val="single"/>
        </w:rPr>
        <w:t>Company Service Providers</w:t>
      </w:r>
      <w:r>
        <w:rPr>
          <w:rFonts w:ascii="Times New Roman;Times;Serif" w:hAnsi="Times New Roman;Times;Serif"/>
          <w:b w:val="false"/>
          <w:i w:val="false"/>
          <w:caps w:val="false"/>
          <w:smallCaps w:val="false"/>
          <w:sz w:val="20"/>
        </w:rPr>
        <w:t>). Neither Guarantor,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Company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Company Plan is and has been established, operated and administered in all material respects with its terms and materially complies in form and in operation with the applicable provisions of ERISA and the Code and all other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Company Plan is, or within the past six years has been, the subject of an application or filing under a government sponsored amnesty, voluntary compliance, or similar program, or been the subject of any self-correction under any such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Company Plan intended to be qualified under Section 401(a) of the Code has received a favorable determination, advisory and/or opinion letter, as applicable, from the IRS that it is so qualified and nothing has occurred to the knowledge of Guarantor or the Company since the date of such letter that would reasonably be expected to cause the loss of the sponsor’s ability to rely upon such letter, and nothing has occurred to the knowledge of Guarantor or the Company that would reasonably be expected to result in the loss of the qualified status of such Company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is no material Action (including any investigation, audit or other administrative proceeding) by the Department of Labor, the PBGC, the IRS or any other Governmental Entity or by any plan participant or beneficiary pending, or to the knowledge of Guarantor or the Company, threatened, relating to the Company Plans, any fiduciaries thereof with respect to their duties to Company Plans or the assets of any of the trusts under any of the Company Plans (other than routine claims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the Company Plans currently provides, or reflects or represents any liability to provide post-termination or retiree welfare benefits to any person for any reason, except as may be required by COBRA, and neither Company nor any members of its Controlled Group has any liability to provide post-termination or retiree welfare benefits to any person or ever represented, promised or contracted to any employee or former employee of Guarantor or the Company (either individually or to such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payments and/or contributions required to have been timely made with respect to all Company Plans either have been made or have been accrued in accordance with the terms of the applicable Company Plan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Company Plan that includes Company Service Providers is subject exclusively to United States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execution and delivery of this Agreement, the Company Stockholder Approval, and the consummation of the Merger will not, either alone or in combination with any other event, (A) entitle any Company Service Providers to severance pay, unemployment compensation or any other similar termination payment, or (B) accelerate the time of payment or vesting, or increase the amount of or otherwise enhance any benefit due any such Company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agreement, plan or other arrangement to which Guarantor, the Company, or any of their Subsidiaries is a party or by which Guarantor, the Company, or any of their Subsidiaries is otherwise bound to compensate any Company Service Providers in respect of Taxes or other liabilities incurred with respect to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Plan that relates to Company Service Providers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Company Plan) so that no amount paid or payable pursuant to any such Company Plan is subject to any additional Tax or interest under Section 409A of the Code (or any comparable or similar provision of state, local, or foreign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Company Plan provides major medical health or long-term disability benefits that are not fully insured through an insurance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with respect to Company Service Providers, Guarantor and each of its Subsidiaries are and, since January 1, 2022,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in each case to the extent applicable to Company Service Providers. Since January 1, 2022, there has not been, and as of the date of this Agreement there is not pending or, to the knowledge of Guarantor or the Company, threatened, any labor dispute, work stoppage, labor strike or lockout with respect to the Company and involving any employee of Guarantor or its Subsidiaries that provides services primarily or exclusively to the Company or who will be or is reasonably likely to be assigned to the Company (a “</w:t>
      </w:r>
      <w:r>
        <w:rPr>
          <w:rFonts w:ascii="Times New Roman;Times;Serif" w:hAnsi="Times New Roman;Times;Serif"/>
          <w:b w:val="false"/>
          <w:i w:val="false"/>
          <w:caps w:val="false"/>
          <w:smallCaps w:val="false"/>
          <w:sz w:val="20"/>
          <w:u w:val="single"/>
        </w:rPr>
        <w:t>Company Employee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Guarantor nor its Subsidiaries is, or since January 1, 2022 has been, party to, or bound by, a collective bargaining agreement or similar labor agreement with respect to the Company Employees, and no such agreement is being negotiated. To the knowledge of Guarantor or the Company, there has not been any activity on behalf of any labor union, labor organization or similar employee group to organize any Company Employees. Solely with respect to Company Employees, there are no, and since January 1, 2022, there has not been any: (i) unfair labor practice charges or complaints against Guarantor, the Company, or any of their Subsidiaries pending before the National Labor Relations Board or any other labor relations tribunal or authority in respect of any Company Employees, and to the knowledge of Guarantor and the Company no such charges or complaints are threatened, or (ii)  grievances or pending arbitration proceedings against Guarantor or any of its Subsidiaries in respect of any Company Employees that arose out of or under any collective bargaining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2022, solely with respect to Company Employees, (i) neither Guarantor nor any of its Subsidiaries has effectuated a “plant closing” (as defined in the WARN Act) affecting any site of employment or one or more facilities or operating units within any site of employment or facility, and, in each case, impacting Company Employees, and (ii) there has not occurred a “mass layoff” (as defined in the WARN Act) with respect to Guarantor or any of its Subsidiaries affecting any site of employment or one or more facilities or operating units within any site of employment or facility and, in each case, impacting Company Employees. Except as would not result in liability to the Company, Guarantor and its Subsidiaries properly classify and for the two (2) years immediately preceding the date hereof have properly classified, solely with respect to Company Service Providers, its and their (i) Company Employees as exempt or non-exempt in accordance with applicable overtime laws, and (ii) Company Service Providers employees or non-employees (e.g., consultants, independent contractors),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 of the Company Disclosure Letter, with respect to any Company Service Provider, there are no Actions against Guarantor or any of its Subsidiaries pending, or to the knowledge of Guarantor or the Company, threatened to be brought or filed, in connection with the employment or engagement of any current or former Company Service Provider,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2022, (i) no allegations of harassment or unlawful discrimination (with respect to any category protected by applicable law, including, without limitation, sexual harassment), retaliation on the basis of protected activity (including as a whistleblower) or protected class status in accordance with applicable law, or other material misconduct relating to the workplace, have been made, initiated, filed or, to the knowledge of Guarantor or the Company, threatened against or involving any current or former directors, officers or senior level Company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Company Service Provider is subject to any service relationship with the Guarantor or its applicable Subsidiaries that either (i) with respect to employees, is not “at-will”, or (ii) cannot be terminated on thirty (30) days’ or less notice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individually or in the aggregate, has not had and would not reasonably be expected to have a Material Adverse Effect, (i) the Company has conducted its businesses in compliance with all, and have not violated any, applicable Environmental Laws; (ii) the Company has obtained all Permits of all Governmental Entities and any other Person that are required under any Environmental Law; (iii) there has been no release of any Hazardous Substance by the Company or any other Person in any manner that has given or would reasonably be expected to give rise to any remedial or investigative obligation, corrective action requirement or liability of the Company under applicable Environmental Laws; (iv) the Company has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as a result of any operations or activities of the Company at any location and, to the knowledge of the Company, Hazardous Substances are not otherwise present at or about any such properties or facilities in amount or condition that has resulted in or would reasonably be expected to result in liability to the Company under any Environmental Law; and (vi) neither the Company nor any of its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herein, “</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means any substance listed, defined, designated, classified or regulated as a waste, pollutant or contaminant or as hazardous, toxic, radioactive or dangerous or any other term of similar import under any Environmental Law, including but not limited to petroleum.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(i) filed all income and other material Tax Returns required to be filed by or on behalf of it (taking into account any applicable extensions) and all such Tax Returns are true, accurate and complete in all material respects; and (ii) timely paid in full (or caused to be timely paid in full) all material Taxes that are required to be paid by or with respect to it, whether or not such Taxes were shown as due on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not incurred, any liability for Taxes outside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not executed any waiver of any statute of limitations on, or extended the period for the assessment or collection of, any amount of Tax, in each case that has not since expired (other than in connection with automatic extensions to file Tax Returns obtained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material audits or other investigations, proceedings, claims, assessments or examinations by any Governmental Entity (each, a “</w:t>
      </w:r>
      <w:r>
        <w:rPr>
          <w:rFonts w:ascii="Times New Roman;Times;Serif" w:hAnsi="Times New Roman;Times;Serif"/>
          <w:b w:val="false"/>
          <w:i w:val="false"/>
          <w:caps w:val="false"/>
          <w:smallCaps w:val="false"/>
          <w:sz w:val="20"/>
          <w:u w:val="single"/>
        </w:rPr>
        <w:t>Tax Action</w:t>
      </w:r>
      <w:r>
        <w:rPr>
          <w:rFonts w:ascii="Times New Roman;Times;Serif" w:hAnsi="Times New Roman;Times;Serif"/>
          <w:b w:val="false"/>
          <w:i w:val="false"/>
          <w:caps w:val="false"/>
          <w:smallCaps w:val="false"/>
          <w:sz w:val="20"/>
        </w:rPr>
        <w:t>”) with respect to Taxes or any Tax Return of the Company are presently in progress or have been asserted, threatened or proposed in writing and to the knowledge of the Company, no such Tax Action is being contemplated. No deficiencies or claims for a material amount of Taxes have been claimed, proposed, assessed or asserted in writing against the Company by a Governmental Entity, other than any such claim, proposal, assessment or assertion that has been satisfied by payment in full, settled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exceptions as would not be material, the Company has timely withheld all Taxes required to have been withheld from payments made (or deemed made) to its employees, independent contractors, creditors, shareholders and other third parties and, to the extent required, such Taxes have been timely paid to the relevant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engaged in a “listed transaction” as set forth in Treasury Regulations § 1.6011-4(b)(2).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 is not a party to or bound by, and has no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Times;Serif" w:hAnsi="Times New Roman;Times;Serif"/>
          <w:b w:val="false"/>
          <w:i w:val="false"/>
          <w:caps w:val="false"/>
          <w:smallCaps w:val="false"/>
          <w:sz w:val="20"/>
          <w:u w:val="single"/>
        </w:rPr>
        <w:t>Ordinary Course Agreement</w:t>
      </w:r>
      <w:r>
        <w:rPr>
          <w:rFonts w:ascii="Times New Roman;Times;Serif" w:hAnsi="Times New Roman;Times;Serif"/>
          <w:b w:val="false"/>
          <w:i w:val="false"/>
          <w:caps w:val="false"/>
          <w:smallCaps w:val="false"/>
          <w:sz w:val="20"/>
        </w:rPr>
        <w:t>”); (ii) is not and has not been a member of a group (other than a group the common parent of which is Guarantor.) filing a consolidated, combined, affiliated, unitary or similar income Tax Return; (iii) does not have any liability for the Taxes of any Person (other than the Guarantor or the Company) pursuant to Treasury Regulations § 1.1502-6 (or any similar provision of state, local or non-United States Law), as a transferee or successor, by Contract or otherwise by operation of Law; and (iv) is not and has not been treated as a resident for any income Tax purpose, or as subject to Tax by virtue of having a permanent establishment, an office or fixed place of business, in any country other than the country in which it was or is organized.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private letter rulings, technical advice memoranda, or similar material agreements or rulings have been requested, entered into or issued by any Governmental Entity with respect to the Company which rulings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will not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the knowledge of the Company, an intercompany transaction or excess loss amount described in Treasury Regulations under Section 1502 of the Code (or any corresponding or similar provision of state, local or foreign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are no liens for Taxes upon any of the assets of the Company other than Liens described in clause (i) of the definition of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has not distributed stock of another Person nor had its stock distributed by another Person, in a transaction (or series of transactions) that was purported or intended to be governed in whole or in part by Sections 355 or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not been a United States real property holding corporation, as defined in Section 897(c)(2) of the Code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material claim has been made in writing by any Governmental Entity in a jurisdiction where the Company does not currently file a Tax Return of a certain type or pay Taxes of a certain type that the Company is or may be subject to taxation of such type by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are no outstanding shares of Company stock issued in connection with the performance of services (within the meaning of Section 83 of the Code) that immediately prior to the Effective Time are subject to a substantial risk of forfeiture (as such terms are defined in Section 83 of the Code) for which a valid election under Section 83(b) of the Code has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the knowledge of the Company, the Company has not been, is not, and immediately prior to the Effective Time will not be, treated as an “investment company” within the meaning of Section 368(a)(2)(F)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has not taken any action, has not omitted to take any action, and has no knowledge of any fact or circumstance, the taking, omission, or existence of which, as the case may be, would reasonably be expected to prevent (i) the Merger from constituting a reorganization within the meaning of Section 368(a) of the Code, or (ii) the Merger, from qualifying as a non-taxable exchange of shares of Company Common Stock for shares of Parent Common Stock within the meaning of Section 351(a)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4.16(a)</w:t>
      </w:r>
      <w:r>
        <w:rPr>
          <w:rFonts w:ascii="Times New Roman;Times;Serif" w:hAnsi="Times New Roman;Times;Serif"/>
          <w:b w:val="false"/>
          <w:i w:val="false"/>
          <w:caps w:val="false"/>
          <w:smallCaps w:val="false"/>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Times;Serif" w:hAnsi="Times New Roman;Times;Serif"/>
          <w:b w:val="false"/>
          <w:i w:val="false"/>
          <w:caps w:val="false"/>
          <w:smallCaps w:val="false"/>
          <w:sz w:val="20"/>
          <w:u w:val="single"/>
        </w:rPr>
        <w:t>Section 4.16(b)</w:t>
      </w:r>
      <w:r>
        <w:rPr>
          <w:rFonts w:ascii="Times New Roman;Times;Serif" w:hAnsi="Times New Roman;Times;Serif"/>
          <w:b w:val="false"/>
          <w:i w:val="false"/>
          <w:caps w:val="false"/>
          <w:smallCaps w:val="false"/>
          <w:sz w:val="20"/>
        </w:rPr>
        <w:t> of the Company Disclosure Letter,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4.16(b)</w:t>
      </w:r>
      <w:r>
        <w:rPr>
          <w:rFonts w:ascii="Times New Roman;Times;Serif" w:hAnsi="Times New Roman;Times;Serif"/>
          <w:b w:val="false"/>
          <w:i w:val="false"/>
          <w:caps w:val="false"/>
          <w:smallCaps w:val="false"/>
          <w:sz w:val="20"/>
        </w:rPr>
        <w:t> of the Company Disclosure Letter lists the following contracts, in effect as of the date of this Agreement, which for the purposes of this Agreement shall be considered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relating to any agreement for indemnification or guaranty not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Contract containing (A) any covenant prohibiting the Company or the Surviving Company from engaging in any line of business or competing with any Person, or limiting the development, manufacture or distribution of the Surviving Company’s products or services, (B) any most-favored pricing arrangement, (C) any exclusivity provision in favor of a third party, or (D) any non-solicitation provision applicable to the Company, in the case of the foregoing clause (D), which are material to the Company,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Contract relating to capital expenditures and requiring payments in excess of $250,000 after the date of this Agreement pursuant to its express terms and not cancelable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Contract pursuant to which Guarantor has retained any right or interest that is used in or otherwise required for the operation of the Company’s business, as currently contemplated to be conducted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contract to which the Company is a party or by which any of its assets and properties is currently bound, which involves annual obligations of or payment by, or annual payments to, the Company in excess of $100,000;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Contract relating to the disposition or acquisition of assets or any ownership interest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employment or independent contractor Contract or retention, severance, change in control, or deal-based bonus Employee Plan, arrangement, or Contract that covers any Company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Contract requiring payment by or to the Company after the date of this Agreement in excess of $100,000 pursuant to its express terms relating to: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Contract with any Person, including any financial advisor, broker, finder, investment banker or other Person, providing advisory services to the Company in connection with the Contemplated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Contract relating to leases of real properties with respect to which the Company directly or indirectly holds a valid leasehold interest as well as any other real estate that is in the possession of or leased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Times;Serif" w:hAnsi="Times New Roman;Times;Serif"/>
          <w:b w:val="false"/>
          <w:i w:val="false"/>
          <w:caps w:val="false"/>
          <w:smallCaps w:val="false"/>
          <w:sz w:val="20"/>
          <w:u w:val="single"/>
        </w:rPr>
        <w:t>Section 4.16(c)</w:t>
      </w:r>
      <w:r>
        <w:rPr>
          <w:rFonts w:ascii="Times New Roman;Times;Serif" w:hAnsi="Times New Roman;Times;Serif"/>
          <w:b w:val="false"/>
          <w:i w:val="false"/>
          <w:caps w:val="false"/>
          <w:smallCaps w:val="false"/>
          <w:sz w:val="20"/>
        </w:rPr>
        <w:t> of the Company Disclosure Letter, there are no Material Contracts that are not in written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is covered by valid and currently effective insurance policies issued in favor of the Company that are customary and adequate for companies of similar size in the industries and locations in which the Company operates.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of the Company Disclosure Letter sets forth, as of the date hereof, a true and complete list of all material insurance policies issued in favor of the Company, or pursuant to which the Company is a named insured or otherwise a beneficiary, as well as any historic incurrence-based policies still in force. With respect to each such insurance policy, (a) such policy is in full force and effect and all premiums due thereon have been paid, (b) the Company is not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w:t>
      </w:r>
      <w:r>
        <w:rPr>
          <w:rFonts w:ascii="Times New Roman;Times;Serif" w:hAnsi="Times New Roman;Times;Serif"/>
          <w:b w:val="false"/>
          <w:i w:val="false"/>
          <w:caps w:val="false"/>
          <w:smallCaps w:val="false"/>
          <w:sz w:val="20"/>
          <w:u w:val="single"/>
        </w:rPr>
        <w:t>Properties;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and will have after giving effect to the Contemplated Transactions (including the Contribution), good and valid title to, or in the case of leased property and leased tangible assets, a valid leasehold interest in, all of its real properties and tangible and other assets that are necessary for the Company to conduct the business and operate as operated by Guarantor and as currently contemplated to be conducted by the Company, after taking into account the services to be provided by the Transition Services Agreement and the Manufacturing and Supply Agreement,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consistent with past practice and (iii) any such matters of record, Liens and other imperfections of title that do not, individually or in the aggregate, materially impair the continued ownership, use and operation of the assets to which they relate in the business of the Company as currently conducted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the tangible personal property currently used in the operation of the business of the Company is in good working order (reasonable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The Company enjoys peaceful and undisturbed possession under all such leases, except for any such failure to do so that, individually or in the aggregate, has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4.18(c)</w:t>
      </w:r>
      <w:r>
        <w:rPr>
          <w:rFonts w:ascii="Times New Roman;Times;Serif" w:hAnsi="Times New Roman;Times;Serif"/>
          <w:b w:val="false"/>
          <w:i w:val="false"/>
          <w:caps w:val="false"/>
          <w:smallCaps w:val="false"/>
          <w:sz w:val="20"/>
        </w:rPr>
        <w:t> of the Company Disclosure Letter sets forth a true and complete list of (i) all real property owned by the Company and (ii) all real property leased for the benefit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4.19(a)</w:t>
      </w:r>
      <w:r>
        <w:rPr>
          <w:rFonts w:ascii="Times New Roman;Times;Serif" w:hAnsi="Times New Roman;Times;Serif"/>
          <w:b w:val="false"/>
          <w:i w:val="false"/>
          <w:caps w:val="false"/>
          <w:smallCaps w:val="false"/>
          <w:sz w:val="20"/>
        </w:rPr>
        <w:t> of the Company Disclosure Letter sets forth a true and complete list of all (i) patents and patent applications; (ii) trademark registrations and applications; and (iii) material copyright registrations and applications, in each case owned or licensed by the Company (collectively,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and a true and complete list of all domain names owned or exclusively licensed by the Company. Except as, individually or in the aggregate, has not had and would not reasonably be expected to have a Material Adverse Effect (A) all of the Company Registered IP is subsisting and, solely in the case of any Company Registered IP that is registered or issued, to the knowledge of the Company, valid and enforceable, (B) no Company Registered IP is involved in any interference, reissue, derivation, reexamination, opposition, cancellation or similar proceeding and, to the knowledge of the Company, no such action is threatened with respect to any of the Company Registered IP and (C) the Company owns exclusively, free and clear of any and all Liens (other than Permitted Liens), all Company Owned IP, including all Intellectual Property created on behalf of the Company by employees or independent 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of the Company Disclosure Letter accurately identifies (i) all contracts pursuant to which any Intellectual Property is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(B) any Intellectual Property licensed on a nonexclusive basis ancillary to the purchase or use of equipment, reagents or other materials, (C) any confidential information provided under confidentiality agreements and (D) agreements between the Company and its employees in the Company’s standard form thereof), (ii) whether such contract involves the Company Registered IP licensed to the Company and (iii) whether the license or licenses granted to the Company are exclusive or nonexclusive.</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1080" w:right="0" w:firstLine="144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108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4.19(c)</w:t>
      </w:r>
      <w:r>
        <w:rPr>
          <w:rFonts w:ascii="Times New Roman;Times;Serif" w:hAnsi="Times New Roman;Times;Serif"/>
          <w:b w:val="false"/>
          <w:i w:val="false"/>
          <w:caps w:val="false"/>
          <w:smallCaps w:val="false"/>
          <w:sz w:val="20"/>
        </w:rPr>
        <w:t> of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manufacturers or service providers for the sole purpose of enabling such academic collaborator, supplier, manufacturer or service provider to provide services for the Company’s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Registered IP constitutes all Intellectual Property owned by the Guarantor prior to the Contribution and necessary for the Company to conduct its business as currently proposed to be conducted (after giving effect to the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taken commercially reasonable measures to maintain the confidentiality of all information that constitutes or constituted a material Trade Secret of the Company, including requiring all Persons having access thereto to execute written non-disclosure agreements or other binding obligations to maintain confidentiality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individually or in the aggregate, has not had and would not reasonably be expected to have a Material Adverse Effect, (i) to the knowledge of the Company, the conduct of the businesses of the Company, including the manufacture, marketing, offering for sale, sale, importation, use or intended use or other disposal of any product as currently sold or under development by Company or currently contemplated to be sold or developed by the Company, has not infringed, misappropriated or diluted, and does not infringe, misappropriate or dilute, any Intellectual Property of any Person, (ii) the Company has not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individually or in the aggregate, has not had and would not reasonably be expected to have a Material Adverse Effect, (i) the Company has taken commercially reasonable steps to protect the confidentiality and security of the computer and information technology systems used by the Company (the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and the information and transactions stored or contained therein or transmitted thereby, (ii) to the knowledge of the Company, since January 1, 2022, there has been no unauthorized or improper use, loss, access, transmittal, modification or corruption of any such information or data and (iii) since January 1, 2022, there have been no material failures, crashes, viruses, security breaches (including any unauthorized access to any personally identifiable information), affecting the IT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at all times complied in all material respects with all: (i) applicable Laws, published privacy policies and contractual obligations relating to privacy, data protection, and the collection, retention, protection, and use of information that alone or in combination with other information can be used to identify an individual, household or device (“</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collected, used, or held for use by the Company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since January 1, 2022, no claims have been asserted or, to the knowledge of the Company, threatened in writing against the Company alleging a violation of any Person’s privacy or Personal Information, (iii) neither this Agreement nor the consummation of the Contemplated Transactions will breach or otherwise violate any Privacy Laws and (iv) the Company has taken commercially reasonable steps to protect the Personal Information collected, used or held for use by the Company against loss and unauthorized access, use, modification or disclosure, or other misuse. The Company has contractually obligated all vendors, processors, service providers and other Persons collecting, using or otherwise processing Personal Information by or for the Company (“</w:t>
      </w:r>
      <w:r>
        <w:rPr>
          <w:rFonts w:ascii="Times New Roman;Times;Serif" w:hAnsi="Times New Roman;Times;Serif"/>
          <w:b w:val="false"/>
          <w:i w:val="false"/>
          <w:caps w:val="false"/>
          <w:smallCaps w:val="false"/>
          <w:sz w:val="20"/>
          <w:u w:val="single"/>
        </w:rPr>
        <w:t>Data Processors</w:t>
      </w:r>
      <w:r>
        <w:rPr>
          <w:rFonts w:ascii="Times New Roman;Times;Serif" w:hAnsi="Times New Roman;Times;Serif"/>
          <w:b w:val="false"/>
          <w:i w:val="false"/>
          <w:caps w:val="false"/>
          <w:smallCaps w:val="false"/>
          <w:sz w:val="20"/>
        </w:rPr>
        <w:t>”)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and no Governmental Entity, university, college, other educational institution or research center has, to the knowledge of the Company, any claim or right in or to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set forth on </w:t>
      </w:r>
      <w:r>
        <w:rPr>
          <w:rFonts w:ascii="Times New Roman;Times;Serif" w:hAnsi="Times New Roman;Times;Serif"/>
          <w:b w:val="false"/>
          <w:i w:val="false"/>
          <w:caps w:val="false"/>
          <w:smallCaps w:val="false"/>
          <w:sz w:val="20"/>
          <w:u w:val="single"/>
        </w:rPr>
        <w:t>Section 4.19(j)</w:t>
      </w:r>
      <w:r>
        <w:rPr>
          <w:rFonts w:ascii="Times New Roman;Times;Serif" w:hAnsi="Times New Roman;Times;Serif"/>
          <w:b w:val="false"/>
          <w:i w:val="false"/>
          <w:caps w:val="false"/>
          <w:smallCaps w:val="false"/>
          <w:sz w:val="20"/>
        </w:rPr>
        <w:t> of the Company Disclosure Letter, the execution, delivery and performance by the Company of this Agreement, and the consummation of the Contemplated Transactions, will not result in the loss of, or give rise to any right of any third party to terminate or modify any of the rights or obligations of the Company under any agreement under which the Company grants to any Person, or any Person grants to the Company, a license or right under or with respect to any Intellectual Property that is material to any of the businesses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w:t>
      </w:r>
      <w:r>
        <w:rPr>
          <w:rFonts w:ascii="Times New Roman;Times;Serif" w:hAnsi="Times New Roman;Times;Serif"/>
          <w:b w:val="false"/>
          <w:i w:val="false"/>
          <w:caps w:val="false"/>
          <w:smallCaps w:val="false"/>
          <w:sz w:val="20"/>
          <w:u w:val="single"/>
        </w:rPr>
        <w:t>State Takeover Statutes</w:t>
      </w:r>
      <w:r>
        <w:rPr>
          <w:rFonts w:ascii="Times New Roman;Times;Serif" w:hAnsi="Times New Roman;Times;Serif"/>
          <w:b w:val="false"/>
          <w:i w:val="false"/>
          <w:caps w:val="false"/>
          <w:smallCaps w:val="false"/>
          <w:sz w:val="20"/>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Contemplated Transactions and will not restrict, impair or delay the ability of Parent or Merger Sub, after the Effective Time, to vote or otherwise exercise all rights as a stockholder of the Company. No other “moratorium,” “fair price,” “business combination,” “control share acquisition” or similar provision of any state anti-takeover Law (collectively,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or any similar anti-takeover provision in the Company Charter or Company Bylaws is, or at the Effective Time will be, applicable to this Agreement, the Merger or any of the other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  </w:t>
      </w:r>
      <w:r>
        <w:rPr>
          <w:rFonts w:ascii="Times New Roman;Times;Serif" w:hAnsi="Times New Roman;Times;Serif"/>
          <w:b w:val="false"/>
          <w:i w:val="false"/>
          <w:caps w:val="false"/>
          <w:smallCaps w:val="false"/>
          <w:sz w:val="20"/>
          <w:u w:val="single"/>
        </w:rPr>
        <w:t>No Rights Plan</w:t>
      </w:r>
      <w:r>
        <w:rPr>
          <w:rFonts w:ascii="Times New Roman;Times;Serif" w:hAnsi="Times New Roman;Times;Serif"/>
          <w:b w:val="false"/>
          <w:i w:val="false"/>
          <w:caps w:val="false"/>
          <w:smallCaps w:val="false"/>
          <w:sz w:val="20"/>
        </w:rPr>
        <w:t>. There is no stockholder rights plan, “poison pill” anti-takeover plan or other similar device in effect to which the Company is a party or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of the Company Disclosure Letter, there have been no transactions, agreements, arrangements or understandings between the Company, on the one hand, and the Affiliates of the Company (including Guarantor), on the other hand that would be required to be disclosed under Item 404 of Regulation S-K under the Securities Act (assuming the Company was subject to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  </w:t>
      </w:r>
      <w:r>
        <w:rPr>
          <w:rFonts w:ascii="Times New Roman;Times;Serif" w:hAnsi="Times New Roman;Times;Serif"/>
          <w:b w:val="false"/>
          <w:i w:val="false"/>
          <w:caps w:val="false"/>
          <w:smallCaps w:val="false"/>
          <w:sz w:val="20"/>
          <w:u w:val="single"/>
        </w:rPr>
        <w:t>Certain Payments</w:t>
      </w:r>
      <w:r>
        <w:rPr>
          <w:rFonts w:ascii="Times New Roman;Times;Serif" w:hAnsi="Times New Roman;Times;Serif"/>
          <w:b w:val="false"/>
          <w:i w:val="false"/>
          <w:caps w:val="false"/>
          <w:smallCaps w:val="false"/>
          <w:sz w:val="20"/>
        </w:rPr>
        <w:t>. Since January 1, 2022, the Company has not, nor, to the knowledge of the Company,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Since January 1, 2022, the Company has been in material compliance with all applicable import, export control, and economic and trade sanctions laws, regulations, statutes, and orders, including the Export Administration Regulations, the International Traffic in Arms Regulations, and the regulations administered by the Office of Foreign Assets Control of the U.S. Department of the Treasury (the “</w:t>
      </w:r>
      <w:r>
        <w:rPr>
          <w:rFonts w:ascii="Times New Roman;Times;Serif" w:hAnsi="Times New Roman;Times;Serif"/>
          <w:b w:val="false"/>
          <w:i w:val="false"/>
          <w:caps w:val="false"/>
          <w:smallCaps w:val="false"/>
          <w:sz w:val="20"/>
          <w:u w:val="single"/>
        </w:rPr>
        <w:t>Trade Laws</w:t>
      </w:r>
      <w:r>
        <w:rPr>
          <w:rFonts w:ascii="Times New Roman;Times;Serif" w:hAnsi="Times New Roman;Times;Serif"/>
          <w:b w:val="false"/>
          <w:i w:val="false"/>
          <w:caps w:val="false"/>
          <w:smallCaps w:val="false"/>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(i) the import, export, and reexport of products, services, software and technologies and (ii) releases of technologies and software to foreign nationals (the “</w:t>
      </w:r>
      <w:r>
        <w:rPr>
          <w:rFonts w:ascii="Times New Roman;Times;Serif" w:hAnsi="Times New Roman;Times;Serif"/>
          <w:b w:val="false"/>
          <w:i w:val="false"/>
          <w:caps w:val="false"/>
          <w:smallCaps w:val="false"/>
          <w:sz w:val="20"/>
          <w:u w:val="single"/>
        </w:rPr>
        <w:t>Trade Approvals</w:t>
      </w:r>
      <w:r>
        <w:rPr>
          <w:rFonts w:ascii="Times New Roman;Times;Serif" w:hAnsi="Times New Roman;Times;Serif"/>
          <w:b w:val="false"/>
          <w:i w:val="false"/>
          <w:caps w:val="false"/>
          <w:smallCaps w:val="false"/>
          <w:sz w:val="20"/>
        </w:rPr>
        <w:t>”). There are no pending or threatened claims against the Company, nor any actions, conditions, facts, or circumstances that would reasonably be expected to give rise to any material future claims with respect to the Trade Laws or Trade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No broker, investment banker, financial advisor or other Person, other than as set forth on </w:t>
      </w:r>
      <w:r>
        <w:rPr>
          <w:rFonts w:ascii="Times New Roman;Times;Serif" w:hAnsi="Times New Roman;Times;Serif"/>
          <w:b w:val="false"/>
          <w:i w:val="false"/>
          <w:caps w:val="false"/>
          <w:smallCaps w:val="false"/>
          <w:sz w:val="20"/>
          <w:u w:val="single"/>
        </w:rPr>
        <w:t>Section 4.25</w:t>
      </w:r>
      <w:r>
        <w:rPr>
          <w:rFonts w:ascii="Times New Roman;Times;Serif" w:hAnsi="Times New Roman;Times;Serif"/>
          <w:b w:val="false"/>
          <w:i w:val="false"/>
          <w:caps w:val="false"/>
          <w:smallCaps w:val="false"/>
          <w:sz w:val="20"/>
        </w:rPr>
        <w:t xml:space="preserve"> of the Company Disclosure Letter, the fees and expenses of which will be paid by the Company, or following the Effective Time, Parent is entitled to any broker’s, finder’s, financial advisor’s or other similar fee or commission in connection with the Contemplated Transactions based upon arrangements made by or on behalf of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Contemplated Transactions), and the Company has not relied on any such information or any representation or warranty not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the Parent SEC Documents at least three (3)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letter delivered by Parent to the Company (the “</w:t>
      </w:r>
      <w:r>
        <w:rPr>
          <w:rFonts w:ascii="Times New Roman;Times;Serif" w:hAnsi="Times New Roman;Times;Serif"/>
          <w:b w:val="false"/>
          <w:i w:val="false"/>
          <w:caps w:val="false"/>
          <w:smallCaps w:val="false"/>
          <w:sz w:val="20"/>
          <w:u w:val="single"/>
        </w:rPr>
        <w:t>Parent Disclosure Letter</w:t>
      </w:r>
      <w:r>
        <w:rPr>
          <w:rFonts w:ascii="Times New Roman;Times;Serif" w:hAnsi="Times New Roman;Times;Serif"/>
          <w:b w:val="false"/>
          <w:i w:val="false"/>
          <w:caps w:val="false"/>
          <w:smallCaps w:val="false"/>
          <w:sz w:val="20"/>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Organization, Standing and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is a corporation duly organized or other entity duly formed,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Contemplated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or equivalent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Parent consists of 350,000,000 shares of Parent Common Stock and 5,000,000 shares of Parent Preferred Stock. As of the close of business on June 20, 2025 (the “</w:t>
      </w:r>
      <w:r>
        <w:rPr>
          <w:rFonts w:ascii="Times New Roman;Times;Serif" w:hAnsi="Times New Roman;Times;Serif"/>
          <w:b w:val="false"/>
          <w:i w:val="false"/>
          <w:caps w:val="false"/>
          <w:smallCaps w:val="false"/>
          <w:sz w:val="20"/>
          <w:u w:val="single"/>
        </w:rPr>
        <w:t>Measurement Date</w:t>
      </w:r>
      <w:r>
        <w:rPr>
          <w:rFonts w:ascii="Times New Roman;Times;Serif" w:hAnsi="Times New Roman;Times;Serif"/>
          <w:b w:val="false"/>
          <w:i w:val="false"/>
          <w:caps w:val="false"/>
          <w:smallCaps w:val="false"/>
          <w:sz w:val="20"/>
        </w:rPr>
        <w:t xml:space="preserve">”), (i) 41,788,096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zero (0) shares of Parent Common Stock were held in treasury, (iii) an aggregate of 6,424,376 shares of Parent Common Stock were subject to the exercise of outstanding Parent Options, (iv) zero (0) shares of Parent Common Stock were subject to outstanding Parent Restricted Stock Unit Awards in accordance with their respective terms, as in effect as of the date hereof, (v) zero (0) shares of Parent Common Stock were subject to the exercise of outstanding Parent Warrants and (vi) no shares of Parent Preferred Stock were issued and outstanding or held in treasury. Except as set forth above in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and except for changes since the close of business on the Measurement Date resulting from the exercise of any options or vesting and settlement of outstanding Parent Restricted Stock Unit Awards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authorized capital stock of Merger Sub consists of 1,000 shares of common stock, par value $0.001 per share, of which 1,000 shares are issued and outstanding, all of which shares are beneficially owned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shares of Parent Common Stock to be issued pursuant to the Merger will be duly authorized, validly issued, fully paid and nonassessable and not subject to any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the Parent Disclosure Letter sets forth a true and complete list of each Subsidiary of Parent, including its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Contemplated Transactions and has engaged in no business other than in connection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has all necessary corporate power and authority to execute, deliver and perform its obligations under this Agreement and to consummate the Merger and the other Contemplated Transactions, including the issuance of the shares of Parent Common Stock to the holders of Company Common Stock as Merger Consideration (the “</w:t>
      </w:r>
      <w:r>
        <w:rPr>
          <w:rFonts w:ascii="Times New Roman;Times;Serif" w:hAnsi="Times New Roman;Times;Serif"/>
          <w:b w:val="false"/>
          <w:i w:val="false"/>
          <w:caps w:val="false"/>
          <w:smallCaps w:val="false"/>
          <w:sz w:val="20"/>
          <w:u w:val="single"/>
        </w:rPr>
        <w:t>Parent Common Stock Issuance</w:t>
      </w:r>
      <w:r>
        <w:rPr>
          <w:rFonts w:ascii="Times New Roman;Times;Serif" w:hAnsi="Times New Roman;Times;Serif"/>
          <w:b w:val="false"/>
          <w:i w:val="false"/>
          <w:caps w:val="false"/>
          <w:smallCaps w:val="false"/>
          <w:sz w:val="20"/>
        </w:rPr>
        <w:t>”). The execution, delivery and performance of this Agreement by Parent and Merger Sub and the consummation by Parent and Merger Sub of the Merger and the other Contemplated Transactions have been duly authorized by all necessary corporate action on the part of Parent and Merger Sub and no other corporate proceedings on the part of Parent or Merger Sub are necessary to approve this Agreement or to consummate the Merger and the other Contemplated Transactions, subject to (i) assuming the Parent Common Stock is listed on Nasdaq immediately before the amendment to the Parent certificate of incorporation to effect the Reverse Stock Split is effective (the “</w:t>
      </w:r>
      <w:r>
        <w:rPr>
          <w:rFonts w:ascii="Times New Roman;Times;Serif" w:hAnsi="Times New Roman;Times;Serif"/>
          <w:b w:val="false"/>
          <w:i w:val="false"/>
          <w:caps w:val="false"/>
          <w:smallCaps w:val="false"/>
          <w:sz w:val="20"/>
          <w:u w:val="single"/>
        </w:rPr>
        <w:t>Reverse Stock Split Proposal</w:t>
      </w:r>
      <w:r>
        <w:rPr>
          <w:rFonts w:ascii="Times New Roman;Times;Serif" w:hAnsi="Times New Roman;Times;Serif"/>
          <w:b w:val="false"/>
          <w:i w:val="false"/>
          <w:caps w:val="false"/>
          <w:smallCaps w:val="false"/>
          <w:sz w:val="20"/>
        </w:rPr>
        <w:t>”), obtaining the approval of the Nasdaq Issuance Proposal and the Reverse Stock Split Proposal by the holders of a majority of the votes cast for such proposal (the “</w:t>
      </w:r>
      <w:r>
        <w:rPr>
          <w:rFonts w:ascii="Times New Roman;Times;Serif" w:hAnsi="Times New Roman;Times;Serif"/>
          <w:b w:val="false"/>
          <w:i w:val="false"/>
          <w:caps w:val="false"/>
          <w:smallCaps w:val="false"/>
          <w:sz w:val="20"/>
          <w:u w:val="single"/>
        </w:rPr>
        <w:t>Parent Stockholder Approval</w:t>
      </w:r>
      <w:r>
        <w:rPr>
          <w:rFonts w:ascii="Times New Roman;Times;Serif" w:hAnsi="Times New Roman;Times;Serif"/>
          <w:b w:val="false"/>
          <w:i w:val="false"/>
          <w:caps w:val="false"/>
          <w:smallCaps w:val="false"/>
          <w:sz w:val="20"/>
        </w:rPr>
        <w:t>”)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Board, at a meeting duly called and held at which all directors of Parent were present, unanimously adopted resolutions (i) determining that the Contemplated Transactions are fair to, advisable and in the best interests of Parent and its stockholders, (ii) approving and declaring advisable this Agreement and the Contemplated Transactions, including the issuance of shares of Parent Capital Stock to the stockholders of the Company pursuant to this Agreement and the Parent Support Agreements and the Constructive Issuance, (iii) determining that the Reverse Stock Split Proposal, among other things, is advisable and in the best interests of Parent and its stockholders, and (iv) determining to recommend, upon the terms and subject to the conditions set forth in this Agreement, that the stockholders of Parent vote to authorize the Nasdaq Issuance Proposal, the Reverse Stock Split Proposal and the other Parent Stockholder Proposals. The board of directors of Merger Sub (by unanimous written consent) has: (x) determined that the Contemplated Transactions are fair to, advisable, and in the best interests of Merger Sub and its sole stockholder, (y) approved and deemed advisable this Agreement and the Contemplated Transactions and (z) determined to recommend, upon the terms and subject to the conditions set forth in this Agreement, that the stockholder of Merger Sub vote to adopt this Agreement and thereby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Stockholder Approval is the only vote of the holders of any class or series of the Parent Common Stock or other securities required in connection with the consummation of the Merger and the other Contemplated Transactions, including the Parent Common Stock Issuance. Other than the Parent Stockholder Approval, no vote of the holders of any class or series of the Parent Common Stock or other securities is required in connection with the consummation of any of the Contemplated Transactions to be consummated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No Conflict; Consents and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xml:space="preserve"> of the Parent Disclosure Letter, the execution, delivery and performance of this Agreement by each of Parent and Merger Sub does not, and the consummation of the Merger and the other Contemplated Transactions (including the Contribution)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Contemplated Transactions or compliance with the provisions hereof, except for (i) the filing with the SEC of such reports under Section 13(a) or 15(d) of the Exchange Act, as may be required in connection with this Agreement and the Contemplated Transactions, (ii) such other filings and reports as may be required pursuant to the applicable requirements of the Securities Act, the Exchange Act and any other applicable state or federal securities, takeover and “blue sky” laws, (iii) the filing of the Certificate of Merger with the Delaware Secretary of State as required by the DGCL, (iv) any filings required under the rules and regulations of Nasdaq and (v) such consents, approvals, orders, authorizations, registrations, declarations, filings or notices the failure of which to be obtained or made, individually or in the aggregate, have not had and would not reasonably be expected to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filed with or furnished to the SEC on a timely basis true and complete copies of all forms, reports, schedules, statements and other documents required to be filed with or furnished to the SEC by Parent since January 1, 2022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2022,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Times;Serif" w:hAnsi="Times New Roman;Times;Serif"/>
          <w:b w:val="false"/>
          <w:i w:val="false"/>
          <w:caps w:val="false"/>
          <w:smallCaps w:val="false"/>
          <w:sz w:val="20"/>
          <w:u w:val="single"/>
        </w:rPr>
        <w:t>Section 5.6(d)</w:t>
      </w:r>
      <w:r>
        <w:rPr>
          <w:rFonts w:ascii="Times New Roman;Times;Serif" w:hAnsi="Times New Roman;Times;Serif"/>
          <w:b w:val="false"/>
          <w:i w:val="false"/>
          <w:caps w:val="false"/>
          <w:smallCaps w:val="false"/>
          <w:sz w:val="20"/>
        </w:rPr>
        <w:t> of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2022,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Parent or any of its officers, directors, employees or agents to the Parent Board or any committee thereof or to any director or officer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is in compliance in all material respects with the provisions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audited balance sheet of Parent as at December 31, 2024 included in the Annual Report on Form 10-K filed by Parent with the SEC on March 31, 2025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December 31, 2024 that are not individually or in the aggregate material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Parent Disclosure Letter, since December 31, 2024, (i) except in connection with the execution of this Agreement and the consummation of the Contemplated Transactions,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declared, set aside or paid any dividends on, or made any other distributions (whether in cash, stock or property) in respect of, any of its capital stock or other equity interests,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amended or otherwise changed, or authorized or proposed to amend or otherwise change, its certificate of incorporation or by-laws (or similar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adopted or entered into a plan of complete or partial liquidation, dissolution, restructuring, recapitalization or reorganization;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changed its financial or Tax accounting methods, principles or practices, except insofar as may have been required by a change in GAAP or applicable Law, or revalued any of its material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Parent and each of its Subsidiaries are and have been in compliance in all material respects with all Laws applicable to its businesses, operations, properties or assets. Neither Parent nor any of its Subsidiaries has received, since January 1, 2022,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Health Care Regulatory Matters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to the knowledge of Parent, each of its directors, officers, management employees, agents (while acting in such capacity), contract manufacturers, suppliers, and distributors are, and at all times prior hereto were, in material compliance with all health care laws to the extent applicable to Parent or any of its products or activities, including, but not limited to the Health Care Laws, to the extent applicable to Parent. To the knowledge of Parent, there are no facts or circumstances that reasonably would be expected to give rise to any material liability under any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Parent nor any of its Subsidiaries is not party to any material corporate integrity agreements, monitoring agreements, consent decrees, settlement orders, or similar agreements with or imposed by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as biologics under Health Care Laws, including biological candidates, compounds or products being researched, tested, stored, developed, labeled, manufactured, packed, imported, exported and/or distributed by Parent or any of its Subsidiaries (“</w:t>
      </w:r>
      <w:r>
        <w:rPr>
          <w:rFonts w:ascii="Times New Roman;Times;Serif" w:hAnsi="Times New Roman;Times;Serif"/>
          <w:b w:val="false"/>
          <w:i w:val="false"/>
          <w:caps w:val="false"/>
          <w:smallCaps w:val="false"/>
          <w:sz w:val="20"/>
          <w:u w:val="single"/>
        </w:rPr>
        <w:t>Parent Products</w:t>
      </w:r>
      <w:r>
        <w:rPr>
          <w:rFonts w:ascii="Times New Roman;Times;Serif" w:hAnsi="Times New Roman;Times;Serif"/>
          <w:b w:val="false"/>
          <w:i w:val="false"/>
          <w:caps w:val="false"/>
          <w:smallCaps w:val="false"/>
          <w:sz w:val="20"/>
        </w:rPr>
        <w:t>”),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the revocation, suspension, limitation, or cancellation of a Permit required under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preclinical studies and clinical trials conducted by or, to the knowledge of Parent, on behalf of Parent in respect of a Parent Product for submission to the FDA or other Governmental Entity have been since January 1, 2022, and if still pending are being, conducted in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Times;Serif" w:hAnsi="Times New Roman;Times;Serif"/>
          <w:b w:val="false"/>
          <w:i w:val="false"/>
          <w:caps w:val="false"/>
          <w:smallCaps w:val="false"/>
          <w:sz w:val="20"/>
          <w:u w:val="single"/>
        </w:rPr>
        <w:t>Section 5.11(d)</w:t>
      </w:r>
      <w:r>
        <w:rPr>
          <w:rFonts w:ascii="Times New Roman;Times;Serif" w:hAnsi="Times New Roman;Times;Serif"/>
          <w:b w:val="false"/>
          <w:i w:val="false"/>
          <w:caps w:val="false"/>
          <w:smallCaps w:val="false"/>
          <w:sz w:val="20"/>
        </w:rPr>
        <w:t>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System (QS) regulations at 21 C.F.R. Part 820, and all comparable foreign regulatory requirements of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Times;Serif" w:hAnsi="Times New Roman;Times;Serif"/>
          <w:b w:val="false"/>
          <w:i w:val="false"/>
          <w:caps w:val="false"/>
          <w:smallCaps w:val="false"/>
          <w:sz w:val="20"/>
          <w:u w:val="single"/>
        </w:rPr>
        <w:t>Section 5.11(f)</w:t>
      </w:r>
      <w:r>
        <w:rPr>
          <w:rFonts w:ascii="Times New Roman;Times;Serif" w:hAnsi="Times New Roman;Times;Serif"/>
          <w:b w:val="false"/>
          <w:i w:val="false"/>
          <w:caps w:val="false"/>
          <w:smallCaps w:val="false"/>
          <w:sz w:val="20"/>
        </w:rPr>
        <w:t> of the Parent Disclosure Letter have been resolved to the satisfaction of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Times;Serif" w:hAnsi="Times New Roman;Times;Serif"/>
          <w:b w:val="false"/>
          <w:i w:val="false"/>
          <w:caps w:val="false"/>
          <w:smallCaps w:val="false"/>
          <w:sz w:val="20"/>
          <w:u w:val="single"/>
        </w:rPr>
        <w:t>Section 5.11(g)</w:t>
      </w:r>
      <w:r>
        <w:rPr>
          <w:rFonts w:ascii="Times New Roman;Times;Serif" w:hAnsi="Times New Roman;Times;Serif"/>
          <w:b w:val="false"/>
          <w:i w:val="false"/>
          <w:caps w:val="false"/>
          <w:smallCaps w:val="false"/>
          <w:sz w:val="20"/>
        </w:rPr>
        <w:t> of the Parent Disclosure Letter have been resolved to the satisfaction of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in </w:t>
      </w:r>
      <w:r>
        <w:rPr>
          <w:rFonts w:ascii="Times New Roman;Times;Serif" w:hAnsi="Times New Roman;Times;Serif"/>
          <w:b w:val="false"/>
          <w:i w:val="false"/>
          <w:caps w:val="false"/>
          <w:smallCaps w:val="false"/>
          <w:sz w:val="20"/>
          <w:u w:val="single"/>
        </w:rPr>
        <w:t>Section 5.11(h)</w:t>
      </w:r>
      <w:r>
        <w:rPr>
          <w:rFonts w:ascii="Times New Roman;Times;Serif" w:hAnsi="Times New Roman;Times;Serif"/>
          <w:b w:val="false"/>
          <w:i w:val="false"/>
          <w:caps w:val="false"/>
          <w:smallCaps w:val="false"/>
          <w:sz w:val="20"/>
        </w:rPr>
        <w:t>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to the knowledge of Parent, any officer, employee, agent, or distributor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Parent nor, to the knowledge of Parent, any officer, employee, agent, or distributor of Parent has committed any act, made any statement or failed to make any statement that violates the Federal Anti-Kickback Statute, 28 U.S.C. § 1320a-7b, the Federal False Claims Act, 31 U.S.C. § 3729, other Health Care Laws, or any other similar federal, state, or ex-U.S. law applicable in the jurisdictions in which the Parent Products are sold or intended to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Parent nor, to the knowledge of Parent, any officer, employee, agent, or distributor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employee, agent or distributor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of the Parent Disclosure Letter contains a true, correct, and complete list of each material Parent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any of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the Parent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Parent Plan is and has been established, operated and administered in all material respects with its terms and materially complies in form and in operation with the applicable provisions of ERISA and the Code and all other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Parent Plan is, or within the past six years has been, the subject of an application or filing under a government sponsored amnesty, voluntary compliance, or similar program, or been the subject of any self-correction under any such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the Parent Plans (other than routine claims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the Parent Plans currently provides, or reflects or represents any liability to provide post-termination or retiree welfare benefits to any person for any reason, except as may be required by COBRA, and neither Parent nor any members of its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payments and/or contributions required to have been timely made with respect to all Parent Plans either have been made or have been accrued in accordance with the terms of the applicable Parent Plan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Parent Plan is subject exclusively to United States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execution and delivery of this Agreement, the Parent Stockholder Approval, and the consummation of the Merger will not, either alone or in combination with any other event, (A) entitle any current or former employee, officer, director or consultant of Parent or any of its Subsidiaries to severance pay, unemployment compensation or any other similar termination payment, or (B) accelerate the time of payment or vesting, or increase the amount of or otherwise enhance any benefit due any such employee, officer, director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Parent nor any of its Subsidiaries is a party to any agreement, contract, arrangement or plan (including any Parent Plan) that may reasonably be expected to result, separately or in the aggregate, in connection with the Contemplated Transactions (either alone or in combination with any other events), in the payment of any “parachute payments” within the meaning of Section 280G of the Code. There is no agreement, plan or other arrangement to which Parent or any of its Subsidiaries is a party or by which Parent or any of its Subsidiaries is otherwise bound to compensate any person in respect of Taxes or other liabilities incurred with respect to Section 409A or 4999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Parent Plan provides major medical health or long-term disability benefits that are not fully insured through an insurance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are and, since January 1, 2022,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2022, there has not been, and as of the date of this Agreement there is not pending or, to the knowledge of Parent, threatened, any labor dispute, work stoppage, labor strike or lockout against Parent or any of its Subsidiaries by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employee of Parent or any of its Subsidiaries is, or since January 1, 2022 has been, covered by an effective or pending collective bargaining agreement or similar labor agreement. To the knowledge of Parent, there has not been any activity on behalf of any labor union, labor organization or similar employee group to organize any employees of Parent or any of its Subsidiaries. There are no and since January 1, 2022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relations tribunal or authority or (iii) grievances or pending arbitration proceedings against Parent or any of its Subsidiaries that arose out of or under any collective bargaining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2022, (i) neither Parent nor any of its Subsidiaries has not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not engaged in layoffs or employment terminations sufficient in number to trigger application of any similar state, local or foreign law. Parent and its Subsidiaries properly classify and for the two (2) years immediately preceding the date hereof have properly classified its and their (i) employees as exempt or non-exempt in accordance with applicable overtime laws, (ii) contingent workers in accordance with applicable law and (iii) workers as employees or non-employees (e.g., consultants, independent contractors),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5.13(d)</w:t>
      </w:r>
      <w:r>
        <w:rPr>
          <w:rFonts w:ascii="Times New Roman;Times;Serif" w:hAnsi="Times New Roman;Times;Serif"/>
          <w:b w:val="false"/>
          <w:i w:val="false"/>
          <w:caps w:val="false"/>
          <w:smallCaps w:val="false"/>
          <w:sz w:val="20"/>
        </w:rPr>
        <w:t> of the Parent Disclosure Letter, with respect to any current or former employee, officer, consultant or other service provider of Parent, there are no Actions against Parent or any of its Subsidiaries pending, or to the knowledge of Parent, threatened to be brought or filed, in connection with the employment or engagement of any current or former employee, officer, consultant or other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Section 5.13(e)</w:t>
      </w:r>
      <w:r>
        <w:rPr>
          <w:rFonts w:ascii="Times New Roman;Times;Serif" w:hAnsi="Times New Roman;Times;Serif"/>
          <w:b w:val="false"/>
          <w:i w:val="false"/>
          <w:caps w:val="false"/>
          <w:smallCaps w:val="false"/>
          <w:sz w:val="20"/>
        </w:rPr>
        <w:t xml:space="preserve"> of the Parent Disclosure Letter or with respect to any Parent Plan (which subject is addressed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2022, no allegations of harassment or unlawful discrimination (with respect to any category protected by applicable law, including, without limitation, sexual harassment), retaliation on the basis of protected activity (including as a whistleblower) or protected class status in accordance with applicable law, or other material misconduct relating to the workplace have been made, initiated, filed or, to the knowledge of Parent, threatened against or involving Parent or any of its Subsidiaries or any of their respective current or former directors, officers or senior level management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employee or other worker of Parent is subject to any service relationship that is not “at-will” or that is terminable on more than 30 days’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have (i) filed all income and other material Tax Returns required to be filed by or on behalf of them (taking into account any applicable extensions) and all such Tax Returns are true, accurate and complete in all material respects; and (ii) timely paid in full (or caused to be timely paid in full) all material Taxes that are required to be paid by or with respect to them, whether or not such Taxes were shown as due on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Parent nor any of its Subsidiaries has executed any waiver of any statute of limitations on, or extended the period for the assessment or collection of, any amount of Tax, in each case that has not since expired (other than in connection with automatic extensions to file Tax Returns obtained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material Tax Action with respect to Taxes or any Tax Return of Parent or any of its Subsidiaries are presently in progress or have been asserted, threatened or proposed in writing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has engaged in a “listed transaction” as set forth in Treasury Regulations § 1.6011-4(b)(2).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private letter rulings, technical advice memoranda, or similar material agreements or rulings have been requested, entered into or issued by any Governmental Entity with respect to Parent or any of its Subsidiaries which rulings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the knowledge of Parent, an intercompany transaction or excess loss amount described in Treasury Regulations under Section 1502 of the Code (or any corresponding or similar provision of state, local or foreign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are no liens for Taxes upon any of the assets of Parent or any of its Subsidiaries other than Liens described in clause (i) of the definition of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Parent nor any of its Subsidiaries has distributed stock of another Person or has had its stock distributed by another Person, in a transaction (or series of transactions) that was purported or intended to be governed in whole or in part by Sections 355 or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Parent nor any of its Subsidiaries has been a United States real property holding corporation, as defined in Section 897(c)(2) of the Code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material claim has been made in writing by any Governmental Entity in a jurisdiction where Parent or any of its Subsidiaries does not currently file a Tax Return of a certain type or pay Taxes of a certain type that Parent is or may be subject to taxation of such type by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are no outstanding shares of Parent stock issued in connection with the performance of services (within the meaning of Section 83 of the Code) that immediately prior to the Effective Time are subject to a substantial risk of forfeiture (as such terms are defined in Section 83 of the Code) for which a valid election under Section 83(b) of the Code has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the knowledge of Parent, neither Parent nor any of its Subsidiaries has been, is, or immediately prior to the Effective Time will be, treated as an “investment company” within the meaning of Section 368(a)(2)(F)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Parent nor any of its Subsidiaries has taken any action, has omitted to take any action, or has knowledge of any fact or circumstance, the taking, omission, or existence of which, as the case may be, would reasonably be expected to prevent (i) the Merger from constituting a reorganization within the meaning of Section 368(a) of the Code, or (ii) the Merger, from qualifying as a non-taxable exchange of shares of Company Common Stock for shares of Parent Common Stock within the meaning of Section 351(a)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any Parent Plans (which are the subject of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except as set forth in the Parent SEC Documents publicly available prior to the date of this Agreement, and except for any agreement or contract, the expenses and obligations under which are included in the calculation of Net Cash, Parent is not a party to or bound by any “material contract” (as such term is defined in Item 601(b)(10) of Regulation S-K under the Securities Act) (all such contracts including those set forth in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of the Parent Disclosure Letter, “</w:t>
      </w:r>
      <w:r>
        <w:rPr>
          <w:rFonts w:ascii="Times New Roman;Times;Serif" w:hAnsi="Times New Roman;Times;Serif"/>
          <w:b w:val="false"/>
          <w:i w:val="false"/>
          <w:caps w:val="false"/>
          <w:smallCaps w:val="false"/>
          <w:sz w:val="20"/>
          <w:u w:val="single"/>
        </w:rPr>
        <w:t>Parent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of the Parent Disclosure Letter lists the following contracts, which for the purposes of this Agreement shall be considered Parent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relating to any agreement of indemnification or guaranty not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Contract containing any covenant prohibiting Parent, its Subsidiaries or the Surviving Company from engaging in any line of business or competing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Contract relating to capital expenditures and requiring payments after the date of this Agreement in excess of $100,000 pursuant to its express terms and not cancelable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Contract relating to the disposition or acquisition of material assets or any ownership interest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Contract relating to any mortgages, indentures, loans, notes or credit agreements, security agreements or other agreements or instruments relating to the borrowing of money or extension of credit in excess of $100,000 or creating any material Liens with respect to any assets of the Parent or any of its Subsidiaries or any loans or debt obligations with officers or directors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Contract with any Person, including any financial advisor, broker, finder, investment banker or other Person, providing advisory services to the Parent in connection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Contract to which the Parent is a party or by which any of its assets and properties is currently bound, which involves annual obligations of payment by, or annual payments to, the Parent in excess of $250,000 or pursuant to which the Company has outstanding unpaid obligations in excess of $250,000;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Contract relating to leases of real properties with respect to which the Parent directly or indirectly holds a valid leasehold interest as well as any other real estate that is in the possession of or leased by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Parent Material Contract is valid and binding on Parent, and to the knowledge of Parent, each other party thereto, and is in full force and effect and enforceable in accordance with its terms; (ii) Parent, and, to the knowledge of Parent, each other party thereto, has performed all material obligations required to be performed by it under each Parent Material Contract; and (iii) there is no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Except as set forth in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 of the Parent Disclosure Letter, there are no Parent Material Contracts that are not in written form. No Person is renegotiating, or has a right pursuant to the terms of any Parent Material Contract to change, any material amount paid or payable to the Parent under any Parent Material Contract or any other material term or provision of any Parent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5.18(c)</w:t>
      </w:r>
      <w:r>
        <w:rPr>
          <w:rFonts w:ascii="Times New Roman;Times;Serif" w:hAnsi="Times New Roman;Times;Serif"/>
          <w:b w:val="false"/>
          <w:i w:val="false"/>
          <w:caps w:val="false"/>
          <w:smallCaps w:val="false"/>
          <w:sz w:val="20"/>
        </w:rPr>
        <w:t> of the Parent Disclosure Letter sets forth a true and complete list of (i) all real property owned by Parent or any of its Subsidiaries and (ii) all real property leased for the benefit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5.19(a)</w:t>
      </w:r>
      <w:r>
        <w:rPr>
          <w:rFonts w:ascii="Times New Roman;Times;Serif" w:hAnsi="Times New Roman;Times;Serif"/>
          <w:b w:val="false"/>
          <w:i w:val="false"/>
          <w:caps w:val="false"/>
          <w:smallCaps w:val="false"/>
          <w:sz w:val="20"/>
        </w:rPr>
        <w:t>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Times;Serif" w:hAnsi="Times New Roman;Times;Serif"/>
          <w:b w:val="false"/>
          <w:i w:val="false"/>
          <w:caps w:val="false"/>
          <w:smallCaps w:val="false"/>
          <w:sz w:val="20"/>
          <w:u w:val="single"/>
        </w:rPr>
        <w:t>Parent Registered IP</w:t>
      </w:r>
      <w:r>
        <w:rPr>
          <w:rFonts w:ascii="Times New Roman;Times;Serif" w:hAnsi="Times New Roman;Times;Serif"/>
          <w:b w:val="false"/>
          <w:i w:val="false"/>
          <w:caps w:val="false"/>
          <w:smallCaps w:val="false"/>
          <w:sz w:val="20"/>
        </w:rPr>
        <w:t>”) and a true and complete list of all domain names owned or exclusively licensed by Parent and its Subsidiaries. Except as, individually or in the aggregate, has not had and would not reasonably be expected to have a Parent Material Adverse 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have taken commercially reasonable measures to maintain the confidentiality of all information that constitutes or constituted a material Trade Secret of Parent and its Subsidiaries, including requiring all Persons having access thereto to execute written non-disclosure agreements or other binding obligations to maintain confidentiality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individually or in the aggregate, has not had and would not reasonably be expected to have a Parent Material Adverse Effect, (i) Parent and its Subsidiaries have taken commercially reasonable steps to protect the confidentiality and security of the computer and information technology systems used by Parent or any of its Subsidiaries (the “</w:t>
      </w:r>
      <w:r>
        <w:rPr>
          <w:rFonts w:ascii="Times New Roman;Times;Serif" w:hAnsi="Times New Roman;Times;Serif"/>
          <w:b w:val="false"/>
          <w:i w:val="false"/>
          <w:caps w:val="false"/>
          <w:smallCaps w:val="false"/>
          <w:sz w:val="20"/>
          <w:u w:val="single"/>
        </w:rPr>
        <w:t>Parent IT Systems</w:t>
      </w:r>
      <w:r>
        <w:rPr>
          <w:rFonts w:ascii="Times New Roman;Times;Serif" w:hAnsi="Times New Roman;Times;Serif"/>
          <w:b w:val="false"/>
          <w:i w:val="false"/>
          <w:caps w:val="false"/>
          <w:smallCaps w:val="false"/>
          <w:sz w:val="20"/>
        </w:rPr>
        <w:t>”) and the information and transactions stored or contained therein or transmitted thereby, (ii) to the knowledge of Parent, during the past two (2) years, there has been no unauthorized or improper use, loss, access, transmittal, modification or corruption of any such information or data, and (iii) during the past two (2) years, there have been no material failures, crashes, viruses, security breaches (including any unauthorized access to any personally identifiable information), affecting the Parent IT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individually or in the aggregate, has not had and would not reasonably be expected to have a Parent Material Adverse Effect, (i) to the knowledge of Parent, Parent and its Subsidiaries have at all times complied in all material respects with all applicable Privacy Laws, (ii) during the past two (2) years since the Effective Time, no claims have been asserted or, to the knowledge of Parent, threatened in writing against Parent or any of its Subsidiaries alleging a violation of any Person’s privacy or Personal Information, (iii) neither this Agreement nor the consummation of the Contemplated Transactions will breach or otherwise violate any Privacy Laws and (iv) Parent and its Subsidiaries have taken commercially reasonable steps to protect the Personal Information collected, used or held for use by Parent or any of its Subsidiaries against loss and unauthorized access, use, modification or disclosure, or other misuse.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Times;Serif" w:hAnsi="Times New Roman;Times;Serif"/>
          <w:b w:val="false"/>
          <w:i w:val="false"/>
          <w:caps w:val="false"/>
          <w:smallCaps w:val="false"/>
          <w:sz w:val="20"/>
          <w:u w:val="single"/>
        </w:rPr>
        <w:t>Section 5.19(f)</w:t>
      </w:r>
      <w:r>
        <w:rPr>
          <w:rFonts w:ascii="Times New Roman;Times;Serif" w:hAnsi="Times New Roman;Times;Serif"/>
          <w:b w:val="false"/>
          <w:i w:val="false"/>
          <w:caps w:val="false"/>
          <w:smallCaps w:val="false"/>
          <w:sz w:val="20"/>
        </w:rPr>
        <w:t> of the Parent Disclosure Letter, the execution, delivery and performance by Parent of this Agreement, and the consummation of the Contemplated Transactions,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Since January 1, 2022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5.21  </w:t>
      </w:r>
      <w:r>
        <w:rPr>
          <w:rFonts w:ascii="Times New Roman;Times;Serif" w:hAnsi="Times New Roman;Times;Serif"/>
          <w:b w:val="false"/>
          <w:i w:val="false"/>
          <w:caps w:val="false"/>
          <w:smallCaps w:val="false"/>
          <w:sz w:val="20"/>
          <w:u w:val="single"/>
        </w:rPr>
        <w:t>Certain Payments</w:t>
      </w:r>
      <w:r>
        <w:rPr>
          <w:rFonts w:ascii="Times New Roman;Times;Serif" w:hAnsi="Times New Roman;Times;Serif"/>
          <w:b w:val="false"/>
          <w:i w:val="false"/>
          <w:caps w:val="false"/>
          <w:smallCaps w:val="false"/>
          <w:sz w:val="20"/>
        </w:rPr>
        <w:t>. For the five (5) years immediately preceding the date hereof, neither Parent nor any of its Subsidiaries nor, to the knowledge of Parent, any of their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as amended, (d) has established or maintained, or is maintaining, any unlawful fund of corporate monies or other properties, or (e) has made any bribe, unlawful rebate, payoff, influence payment, kickback or other unlawful payment of any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5.22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Since January 1, 2022,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5.23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investment banker, financial advisor or other Person, other than Lucid Capital Markets, LLC, the fees and expenses of which will be paid by Parent or any of its Subsidiaries, is entitled to any broker’s, finder’s, financial advisor’s or other similar fee or commission in connection with the Contemplated Transactions based upon arrangements made by or on behalf of Parent, any of its Subsidiaries or any of its Affiliates. Parent has furnished to Company a true and complete copy of any Contract between Parent and Lucid Capital Markets, LLC pursuant to which Lucid Capital Markets, LLC, could be entitled to any payment from Parent relating to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5.24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Parent Board has received the opinion of Lucid Capital Markets, LLC, dated the date of this Agreement, to the effect that, as of such date and based upon and subject to the qualifications, limitations, assumptions and other matters set forth therein, the Exchange Ratio is fair, from a financial point of view, to the stockholders of Parent, a signed true and complete copy of which opinion has been or will promptly be provided on a non-reliance basis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5.25   </w:t>
      </w:r>
      <w:r>
        <w:rPr>
          <w:rFonts w:ascii="Times New Roman;Times;Serif" w:hAnsi="Times New Roman;Times;Serif"/>
          <w:b w:val="false"/>
          <w:i w:val="false"/>
          <w:caps w:val="false"/>
          <w:smallCaps w:val="false"/>
          <w:sz w:val="20"/>
          <w:u w:val="single"/>
        </w:rPr>
        <w:t>State Takeover Statutes</w:t>
      </w:r>
      <w:r>
        <w:rPr>
          <w:rFonts w:ascii="Times New Roman;Times;Serif" w:hAnsi="Times New Roman;Times;Serif"/>
          <w:b w:val="false"/>
          <w:i w:val="false"/>
          <w:caps w:val="false"/>
          <w:smallCaps w:val="false"/>
          <w:sz w:val="20"/>
        </w:rPr>
        <w:t>. No Takeover Laws or any similar anti-takeover provision in the Certificate of Incorporation or bylaws of Parent applicable to Parent is, or at the Effective Time will be, applicable to this Agreement, the Merger, the Parent Common Stock Issuance, or any of the other Contemplated Transactions.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5.26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or any other Person on behalf of the Company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Contemplated Transactions), and none of Parent or Merger Sub has relied on any such information or any representation or warranty not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expressly contemplated or permitted by this Agreement, (ii) as expressly required by applicable Law, (iii) in connection with the winding down of Parent’s prior research and development activities (including the termination of employees, independent contractors, service providers, and ongoing contractual obligations related to Parent’s current products or product candidates, as well as any Parent Legacy Transaction) (but in all cases of this clause (iii), in consultation with the Company and subject to the Company’s prior written consent, not to be unreasonably withheld, conditioned or delayed) or (iv) unless the Company shall otherwise consent in writing (email being sufficient), during the period commencing on the date of this Agreement and continuing until the earlier to occur of the termination of this Agreement pursuant to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the Effective Time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Parent shall, and shall cause its Subsidiaries to, use commercially reasonable efforts to (x) conduct its business and operations in material compliance with the applicable Law and the requirements of all Contracts that constitute Parent Material Contracts and (y) continue to pay material outstanding accounts payable and other material current liabilities (including payroll) when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expressly contemplated or permitted by this Agreement or the Securities Purchase Agreement, a Permitted Stock Purchase Agreement or any Parent Legacy Transaction, (ii) as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of the Parent Disclosure Letter, (iii) as required by applicable Law, (iv) in connection the winding down of Parent’s prior research and development activities (including the termination of employees, independent contractors, service providers, and ongoing contractual obligations related to Parent’s current products or product candidates) (but in all cases of this clause (iv), in consultation with the Company and subject to the Company’s prior written consent, not to be unreasonably withheld, conditioned or delayed) or (v) with the prior written consent of the Company (which consent shall not be unreasonably withheld, delayed or conditioned), at all times during the Pre-Closing Period, Parent shall not, nor shall it cause or permit any of its Subsidiaries to, do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accrue, set aside or pay any dividend or make any other distribution in respect of any shares of its capital stock or repurchase, redeem or otherwise reacquire any shares of its capital stock or other securities (except for any CVR, 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 issue, grant, pledge or otherwise dispose of or encumber or authorize the issuance of: (A) any capital stock or other security (except for Parent Common Stock issued upon the valid exercise or settlement of outstanding Parent Options, Parent Warrants or Parent Restricted Stock Unit Awards, as applicable), (B) any option, warrant or right to acquire any capital stock or any other security or (C) any instrument convertible into or exchangeable for any capital stock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form any Subsidiary (other than Merger Sub) or acquire any equity interest or other interest in any other entity or enter into a joint venture with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lend money to any Person, (B) incur or guarantee any indebtedness for borrowed money, (C) guarantee any debt securities or others or (D) other than the incurrence or payment of Transaction Expenses, make any capital expenditure or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other than as expressly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or in order to make amendments for the purposes of Section 409A of the Code,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benefits offered to any current or new employees, directors or consultants, or (E) hire or terminate (other than for cause, or absent such a definition of cause, for conduct that the Parent or such Subsidiary determines in good faith constitutes material misconduct) any officer, employee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enter into any transaction outside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acquire any material asset or sell, lease, license or otherwise irrevocably dispose of any of its material assets or properties, or grant any Lien with respect to such assets or properties (other than the disposition of Parent Legacy Assets, subject to and in accordance with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change or revoke any material Tax election; file any amended income or other material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surrender any material claim for refund; or adopt or change any material accounting method in respect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delay or fail to repay when due, any obligation, including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forgive any loans to any Person, including its employees, officers, directors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sell, assign, transfer, license, sublicense or otherwise dispose of any Intellectual Property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terminate or modify in any respect, or fail to exercise renewal rights with respect to, any material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enter into, amend, terminate, or waive any option or right under, any Parent Material Contract or Contract that would be deemed to be a Parent Material Contract if entered into on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other than the incurrence or payment of any Transaction Expenses, make any expenditures, incur any liabilities or discharge or satisfy any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other than as expressly required by Law or GAAP, take any action to change accounting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 change pricing or royalties or other payments set or charged by Parent or any of Subsidiaries to its customers or licensees or (B) agree to change pricing or royalties or other payments set or charged by Persons who have licensed Intellectual Property to Parent or any of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agree, resolve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herein to the contrary (including the foregoing provisions of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Parent may engage in the sale, license, transfer, disposition, divestiture or other monetization transaction (i.e., a royalty transaction) and/or winding down of, and/or the sale, license, transfer, disposition, divestiture or other monetization transaction (i.e., a royalty transaction) or other disposition of any Parent Legacy Assets (each, an “</w:t>
      </w:r>
      <w:r>
        <w:rPr>
          <w:rFonts w:ascii="Times New Roman;Times;Serif" w:hAnsi="Times New Roman;Times;Serif"/>
          <w:b w:val="false"/>
          <w:i w:val="false"/>
          <w:caps w:val="false"/>
          <w:smallCaps w:val="false"/>
          <w:sz w:val="20"/>
          <w:u w:val="single"/>
        </w:rPr>
        <w:t>Parent Legacy Transaction</w:t>
      </w:r>
      <w:r>
        <w:rPr>
          <w:rFonts w:ascii="Times New Roman;Times;Serif" w:hAnsi="Times New Roman;Times;Serif"/>
          <w:b w:val="false"/>
          <w:i w:val="false"/>
          <w:caps w:val="false"/>
          <w:smallCaps w:val="false"/>
          <w:sz w:val="20"/>
        </w:rPr>
        <w:t>”); provided, however, that to the extent any Parent Legacy Transaction results in any monetary or other material obligations of Parent or otherwise or which could cause Parent to incur any material liability that could extend beyond Closing or contemplates that any consideration paid in respect thereof is in anything other than immediately available cash, or otherwise interferes with or delays in any manner the ability of Parent to perform its obligations under this Agreement or timely consummate the transactions contemplated hereby, Parent shall procure prior written consent of the Company prior to entering into any Parent Legacy Transaction. Notwithstanding anything to the contrary herein, Parent (i) shall permit the Company and its counsel to review and comment on the transaction documents related to the Parent Legacy Transaction; (ii) shall consider any such comments in good faith and shall accept all reasonable additions, deletions or changes suggested by the Company and its counsel in connection therewith; and (iii) shall not sign any agreements, contracts or other definitive documents (not including term sheets or letters of intent) related to Parent Legacy Transaction without first providing the Company and its counsel the opportunity to exercise their rights under clauses (i) and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Operation of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 as expressly contemplated or permitted by this Agreement, (ii) as set forth in Section 6.2(a) of the Company Disclosure Letter, (iii) as expressly required by applicable Law or (iv) unless Parent shall otherwise consent in writing (which consent shall not be unreasonably withheld, delayed or conditioned), during the Pre-Closing Period, the Company shall, and shall cause its Subsidiaries to, use commercially reasonable efforts to conduct its business and operations in the Ordinary Course and in material compliance with the applicable Law and the requirements of all Contracts that constitute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of the Company Disclosure Letter, (ii) as expressly required by applicable Law or (iii) with the prior written consent of Parent (which consent shall not be unreasonably withheld, delayed or conditioned), at all times during the Pre-Closing Period, the Company shall not, nor shall it cause or permit any of its Subsidiaries to, do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 issue, grant, pledge or otherwise dispose of or encumber or authorize the issuance of any of the foregoing actions: (A) any capital stock or other security, (B) any option, warrant or right to acquire any capital stock or any other security or (C) any instrument convertible into or exchangeable for any capital stock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form any Subsidiary or acquire any equity interest or other interest in any other entity or enter into a joint venture with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lend money to any Person, (B) incur or guarantee any indebtedness for borrowed money, or (C) guarantee any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lease, license or otherwise irrevocably dispose of any of its assets or properties, or grant any Lien with respect to such assets 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delay or fail to repay when due any material obligation, including accounts payable and accrued expenses, other than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change or revoke any material Tax election; file any amended income or other material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surrender any material claim for refund; or adopt or change any material accounting method in respect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sell, assign, transfer, license, sublicense or otherwise dispose of any Intellectual Property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agree, resolve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Access and Investigation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of the Confidentiality Agreement, which the parties agree will continue in full force following the date of this Agreement, during the Pre-Closing Period, upon reasonable advance written notice and during normal business hours,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Entity in connection with the Contemplated Transactions. Any investigation conducted by either Parent or the Company pursuant to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shall be conducted in such manner as not to interfere unreasonably with the conduct of the business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in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no access or examination contemplated by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provided,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permitted to the extent that it would require any party or its Subsidiaries, except as otherwise expressly required by this Agreement, to provide (A) information to the other party that relates to the negotiation of this Agreement, (B) information to the other party that relates to any process a party has conducted with any financial advisor or other communications with any Persons in connection therewith, or (C) minutes of the meetings of the board of directors of a party or any committee thereof discussing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Parent (except as it relates to the Concurrent Investment and any Parent Legacy Transaction)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(v) execute or enter into any letter of intent or any Contract contemplating or otherwise relating to any Acquisition Transaction, (vi) take any action that would reasonably be expected to lead to an Acquisition Proposal or Acquisition Inquiry or (vii) publicly propose to do any of the following; provided, however, that, notwithstanding anything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subject to compliance with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such Acquisition Proposal was not obtained or made as a direct or indirect result of any breach of this Agreement, (B) the Parent Board concludes in good faith, after consulting with outside counsel, that the failure to take such action would reasonably be expected to be inconsistent with the Parent Board’s fiduciary duties under applicable Law, (C) at least two (2) Business Days prior to initially furnishing any such nonpublic information to, or enter into discussions with, such Person, Parent provides the Company written notice of the identity of such Person and of Parent’s intention to furnish nonpublic information to, or enter into discussions with, such Person, (D) Parent receives from such Person an executed Acceptable Confidentiality Agreement and (E) at least two (2) Business Days prior to furnishing any such nonpublic information to such Person, Parent furnishes such nonpublic information to the Company (to the extent such information has not been previously furnished by Parent to the Company). Without limiting the generality of the foregoing, each party acknowledges and agrees that, in the event any Representative of such party takes any action that, if taken by such party, would constitute a breach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by such party, the taking of such action by such Representative shall be deemed to constitute a breach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by such party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Article VII or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has been satisfied. Any failure by either party to provide notice pursuant to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not be deemed to be a breach for purposes of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as applicable, unless such failure to provide such notice was knowing and intentional.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     </w:t>
      </w:r>
      <w:r>
        <w:rPr>
          <w:rFonts w:ascii="Times New Roman;Times;Serif" w:hAnsi="Times New Roman;Times;Serif"/>
          <w:b w:val="false"/>
          <w:i w:val="false"/>
          <w:caps w:val="false"/>
          <w:smallCaps w:val="false"/>
          <w:sz w:val="20"/>
          <w:u w:val="single"/>
        </w:rPr>
        <w:t>Parent ESPP</w:t>
      </w:r>
      <w:r>
        <w:rPr>
          <w:rFonts w:ascii="Times New Roman;Times;Serif" w:hAnsi="Times New Roman;Times;Serif"/>
          <w:b w:val="false"/>
          <w:i w:val="false"/>
          <w:caps w:val="false"/>
          <w:smallCaps w:val="false"/>
          <w:sz w:val="20"/>
        </w:rPr>
        <w:t>. As soon as reasonably practicable following the date of this Agreement, the Parent Board shall adopt appropriate resolutions to provide that (a) no offering periods or purchase periods shall be commenced following or in addition to the offering period underway as of the date hereof under the Parent ESPP (the “</w:t>
      </w:r>
      <w:r>
        <w:rPr>
          <w:rFonts w:ascii="Times New Roman;Times;Serif" w:hAnsi="Times New Roman;Times;Serif"/>
          <w:b w:val="false"/>
          <w:i w:val="false"/>
          <w:caps w:val="false"/>
          <w:smallCaps w:val="false"/>
          <w:sz w:val="20"/>
          <w:u w:val="single"/>
        </w:rPr>
        <w:t>Current Offering Period</w:t>
      </w:r>
      <w:r>
        <w:rPr>
          <w:rFonts w:ascii="Times New Roman;Times;Serif" w:hAnsi="Times New Roman;Times;Serif"/>
          <w:b w:val="false"/>
          <w:i w:val="false"/>
          <w:caps w:val="false"/>
          <w:smallCaps w:val="false"/>
          <w:sz w:val="20"/>
        </w:rPr>
        <w:t>”),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If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(but in any event, no later than July 18, 2025), (i) Parent shall prepare, and file with the SEC a proxy statement relating to the Parent Stockholders Meeting to be held in connection with the Merger (together with any amendments thereof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and (ii) Parent, in cooperation with the Company, shall prepare and file with the SEC a registration statement on Form S-4 (the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in which the Proxy Statement shall be included as a part (the Proxy Statement and the Form S-4, collectively,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to be issued by virtue of the Contemplated Transactions, other than any shares of Parent Capital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practicable, and (iii) respond promptly to any comments or requests (written or oral) of the SEC or its staff relating to the Registration Statement. Parent shall promptly notify the Company upon the receipt of any comments or requests (written or oral) from the SEC or its staff or any request from the SEC or its staff for amendments or supplements to the Registration Statement. Parent shall take all or any action required under any applicable federal, state, securities and other Laws in connection with the issuance of shares of Parent Capital Stock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(but in any event no later than two (2) Business Days) after the Registration Statement is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issuance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Without limiting the Company’s obligations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promptly as reasonably practicable (and in no event by July 9, 2025), the Company shall furnish to Parent (i) audited financial statements for each of its fiscal years required to be included in the Registration Statement (the “</w:t>
      </w:r>
      <w:r>
        <w:rPr>
          <w:rFonts w:ascii="Times New Roman;Times;Serif" w:hAnsi="Times New Roman;Times;Serif"/>
          <w:b w:val="false"/>
          <w:i w:val="false"/>
          <w:caps w:val="false"/>
          <w:smallCaps w:val="false"/>
          <w:sz w:val="20"/>
          <w:u w:val="single"/>
        </w:rPr>
        <w:t>Company Audited Financial Statements</w:t>
      </w:r>
      <w:r>
        <w:rPr>
          <w:rFonts w:ascii="Times New Roman;Times;Serif" w:hAnsi="Times New Roman;Times;Serif"/>
          <w:b w:val="false"/>
          <w:i w:val="false"/>
          <w:caps w:val="false"/>
          <w:smallCaps w:val="false"/>
          <w:sz w:val="20"/>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Times;Serif" w:hAnsi="Times New Roman;Times;Serif"/>
          <w:b w:val="false"/>
          <w:i w:val="false"/>
          <w:caps w:val="false"/>
          <w:smallCaps w:val="false"/>
          <w:sz w:val="20"/>
          <w:u w:val="single"/>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one (1) Business Day thereafter, the Company shall solicit for approval the Company Stockholder Approval. Under no circumstances shall the Company assert that any other approval or consent (including with respect to any approval by Guarantor) is necessary to approve this Agreement and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that subject to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(i) the Company Board shall recommend that the Company’s sole stockholders vote to adopt and approve this Agreement and the Contemplated Transactions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(the recommendation of the Company Board that the Company’s sole stockholder vote to adopt and approve this Agreement being referred to as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(the actions set forth in the foregoing clause (ii), collectively, a “</w:t>
      </w:r>
      <w:r>
        <w:rPr>
          <w:rFonts w:ascii="Times New Roman;Times;Serif" w:hAnsi="Times New Roman;Times;Serif"/>
          <w:b w:val="false"/>
          <w:i w:val="false"/>
          <w:caps w:val="false"/>
          <w:smallCaps w:val="false"/>
          <w:sz w:val="20"/>
          <w:u w:val="single"/>
        </w:rPr>
        <w:t>Company Board Adverse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and subject to compliance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if at any time prior to approval and adoption of this Agreement by the Company Stockholder Approval, the Company receives a bona fide written Superior Offer, the Company Board may make a Company Board Adverse Recommendation Change if, but only if,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(x) Parent receives written notice from the Company confirming that the Company Board has determined to change its recommendation at least four (4) Business Days in advance of the Company Board Adverse Recommendation Change (the “</w:t>
      </w:r>
      <w:r>
        <w:rPr>
          <w:rFonts w:ascii="Times New Roman;Times;Serif" w:hAnsi="Times New Roman;Times;Serif"/>
          <w:b w:val="false"/>
          <w:i w:val="false"/>
          <w:caps w:val="false"/>
          <w:smallCaps w:val="false"/>
          <w:sz w:val="20"/>
          <w:u w:val="single"/>
        </w:rPr>
        <w:t>Company Notice Period</w:t>
      </w:r>
      <w:r>
        <w:rPr>
          <w:rFonts w:ascii="Times New Roman;Times;Serif" w:hAnsi="Times New Roman;Times;Serif"/>
          <w:b w:val="false"/>
          <w:i w:val="false"/>
          <w:caps w:val="false"/>
          <w:smallCaps w:val="false"/>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and the Company Board shall not make a Company Board Adverse Recommendation Change prior to the end of such Company Notice Period as so extended (it being understood that there may be multiple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(the “</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 to consider and obtain the Parent Stockholder Approval and thereby approve the Contemplated Transactions and the Parent Charter Amendment and, if deemed necessary by Parent, any Parent Legacy Transaction (the “</w:t>
      </w:r>
      <w:r>
        <w:rPr>
          <w:rFonts w:ascii="Times New Roman;Times;Serif" w:hAnsi="Times New Roman;Times;Serif"/>
          <w:b w:val="false"/>
          <w:i w:val="false"/>
          <w:caps w:val="false"/>
          <w:smallCaps w:val="false"/>
          <w:sz w:val="20"/>
          <w:u w:val="single"/>
        </w:rPr>
        <w:t>Parent Stockholder Proposals</w:t>
      </w:r>
      <w:r>
        <w:rPr>
          <w:rFonts w:ascii="Times New Roman;Times;Serif" w:hAnsi="Times New Roman;Times;Serif"/>
          <w:b w:val="false"/>
          <w:i w:val="false"/>
          <w:caps w:val="false"/>
          <w:smallCaps w:val="false"/>
          <w:sz w:val="20"/>
        </w:rPr>
        <w:t>”). The Parent Stockholder Meeting shall be held as promptly as practicable after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determines in good faith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Except as required by applicable Law, in no event shall the record date of the Parent Stockholders’ Meeting be changed without Company’s prior written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subject to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Times;Serif" w:hAnsi="Times New Roman;Times;Serif"/>
          <w:b w:val="false"/>
          <w:i w:val="false"/>
          <w:caps w:val="false"/>
          <w:smallCaps w:val="false"/>
          <w:sz w:val="20"/>
          <w:u w:val="single"/>
        </w:rPr>
        <w:t>Parent Board Adverse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and subject to compliance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at any time prior to the approval of the Parent Stockholder Proposal by the Parent Stockholder Approval, (i) if Parent receives a bona fide written Superior Offer or (ii) as a result of a material development or change in circumstances that was not known to, or reasonably foreseeable by, the Parent Board prior to the date hereof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Times;Serif" w:hAnsi="Times New Roman;Times;Serif"/>
          <w:b w:val="false"/>
          <w:i w:val="false"/>
          <w:caps w:val="false"/>
          <w:smallCaps w:val="false"/>
          <w:sz w:val="20"/>
          <w:u w:val="single"/>
        </w:rPr>
        <w:t>Parent Intervening Event</w:t>
      </w:r>
      <w:r>
        <w:rPr>
          <w:rFonts w:ascii="Times New Roman;Times;Serif" w:hAnsi="Times New Roman;Times;Serif"/>
          <w:b w:val="false"/>
          <w:i w:val="false"/>
          <w:caps w:val="false"/>
          <w:smallCaps w:val="false"/>
          <w:sz w:val="20"/>
        </w:rPr>
        <w:t>”), the Parent Board may make a Parent Board Adverse Recommendation Change if, but only if in the case of a Superior Offer, following the receipt of and on account of such Superior Offer, (1) the Parent Board determines in good faith, after consulting with outside legal counsel, that the failure to withhold, amend, withdraw or modify 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provided that (x) the Company receives written notice from Parent confirming that the Parent Board has determined to change its recommendation at least four (4) Business Days in advance of the Parent Board Adverse Recommendation Change (the “</w:t>
      </w:r>
      <w:r>
        <w:rPr>
          <w:rFonts w:ascii="Times New Roman;Times;Serif" w:hAnsi="Times New Roman;Times;Serif"/>
          <w:b w:val="false"/>
          <w:i w:val="false"/>
          <w:caps w:val="false"/>
          <w:smallCaps w:val="false"/>
          <w:sz w:val="20"/>
          <w:u w:val="single"/>
        </w:rPr>
        <w:t>Parent Notice Period</w:t>
      </w:r>
      <w:r>
        <w:rPr>
          <w:rFonts w:ascii="Times New Roman;Times;Serif" w:hAnsi="Times New Roman;Times;Serif"/>
          <w:b w:val="false"/>
          <w:i w:val="false"/>
          <w:caps w:val="false"/>
          <w:smallCaps w:val="false"/>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this Agreement is validly terminated pursuant to </w:t>
      </w:r>
      <w:r>
        <w:rPr>
          <w:rFonts w:ascii="Times New Roman;Times;Serif" w:hAnsi="Times New Roman;Times;Serif"/>
          <w:b w:val="false"/>
          <w:i w:val="false"/>
          <w:caps w:val="false"/>
          <w:smallCaps w:val="false"/>
          <w:sz w:val="20"/>
          <w:u w:val="single"/>
        </w:rPr>
        <w:t>Section 9.1(j)</w:t>
      </w:r>
      <w:r>
        <w:rPr>
          <w:rFonts w:ascii="Times New Roman;Times;Serif" w:hAnsi="Times New Roman;Times;Serif"/>
          <w:b w:val="false"/>
          <w:i w:val="false"/>
          <w:caps w:val="false"/>
          <w:smallCaps w:val="false"/>
          <w:sz w:val="20"/>
        </w:rPr>
        <w:t xml:space="preserve">, Parent’s obligation to call, give notice of and hold the Parent Stockholder Meeting in accordance with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shall not be limited to or otherwise affected by the commencement, disclosure, announcement or submission of any Superior Offer or Acquisition Proposal, or by any withdrawal or modification of the Parent Board Recommendation or any Parent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contained in this Agreement shall prohibit Parent or the Parent Board from complying with Rules 14d-9 and 14e-2(a) promulgated under the Exchange Act; provided however,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Efforts; Transaction 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Entity with respect to the Contemplated Transactions, and to submit promptly any additional information requested by any such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 Parent shall give the Company prompt (but not later than within two (2) Business Days) written notice of any “demand letter” or any litigation initiated, or threatened or in writing against Parent and/or its directors relating to this Agreement or the Contemplated Transactions (the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(including by providing copies of all pleadings with respect thereto) and keep the Company reasonably informed with respect to the status thereof. Subject to the penultimate sentence of this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 xml:space="preserve">, Parent shall, on behalf of the parties hereto, control and lead all communications and strategy relating to any Transaction Litigation, subject to this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 xml:space="preserve">.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be entitled to retain any counsel selected by such indemnified parties to defend any Transaction Litigation as it relates to such indemnified parties in accordance with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Indemnification, Exculpation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Effective Time through the sixth (6th) anniversary of the date on which the Effective Time occurs, each of Parent and the Surviving Company shall indemnify and hold harmless each Person who is now, or has been at any time prior to the date hereof, or who becomes prior to the Effective Time, a director or officer of Parent or the Company, respectively (the “</w:t>
      </w:r>
      <w:r>
        <w:rPr>
          <w:rFonts w:ascii="Times New Roman;Times;Serif" w:hAnsi="Times New Roman;Times;Serif"/>
          <w:b w:val="false"/>
          <w:i w:val="false"/>
          <w:caps w:val="false"/>
          <w:smallCaps w:val="false"/>
          <w:sz w:val="20"/>
          <w:u w:val="single"/>
        </w:rPr>
        <w:t>D&amp;O Indemnified Parties</w:t>
      </w:r>
      <w:r>
        <w:rPr>
          <w:rFonts w:ascii="Times New Roman;Times;Serif" w:hAnsi="Times New Roman;Times;Serif"/>
          <w:b w:val="false"/>
          <w:i w:val="false"/>
          <w:caps w:val="false"/>
          <w:smallCaps w:val="false"/>
          <w:sz w:val="20"/>
        </w:rPr>
        <w:t xml:space="preserve">”), against all demands,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Effective Time, in each case, to the fullest extent permitted under the DGCL. Each D&amp;O Indemnified Party will be entitled to advancement of fees, costs and expenses incurred in the defense of any such demand, claim, Action, suit, proceeding or investigation from each of Parent and the Surviving Company, jointly and severally, upon receipt by Parent or the Surviving Company from the D&amp;O Indemnified Party of a request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without reference to the D&amp;O Indemnified Party’s ability to repay such advances or, except as may be limited by applicable Law,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Company prior to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Effective Time asserting a claim for such protections pursuant to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shall continue until the final disposition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Effective Time in a manner that would adversely affect the rights thereunder of individuals who, at or prior to the Effective Time, were officers or directors of Parent, unless such modification is required by applicable Law. The certificate of incorporation and bylaws of the Surviving Company shall contain, and Parent shall cause the certificate of incorporation and bylaws of the Surviving Company to so contain, provisions no less favorable with respect to indemnification, advancement of expenses and exculpation of present and former directors and officers as those presently set forth in the certificate of incorporation and bylaws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Effective Time, (i) the Surviving Company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demands, claims, Actions, suits, proceedings or investigations whether asserted or claimed prior to, at or after the Effective Time,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demands, claims, Actions, suits, proceedings or investigations whether asserted or claimed prior to, at or after the Effective Time, arising out of matters occurring at or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Effective Time with respect to any claim related to any period of time at or prior to the Effective Time with terms, conditions, exclusions, retentions and limits of liability that are no less favorable than 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Effective Time (including in connection with this Agreement or the Contemplated Transactions or in connection with Parent’s initial public offering of shares of Parent Common Stock); provided, that, in satisfying its obligation under this </w:t>
      </w:r>
      <w:r>
        <w:rPr>
          <w:rFonts w:ascii="Times New Roman;Times;Serif" w:hAnsi="Times New Roman;Times;Serif"/>
          <w:b w:val="false"/>
          <w:i w:val="false"/>
          <w:caps w:val="false"/>
          <w:smallCaps w:val="false"/>
          <w:sz w:val="20"/>
          <w:u w:val="single"/>
        </w:rPr>
        <w:t>Section 7.5(d)</w:t>
      </w:r>
      <w:r>
        <w:rPr>
          <w:rFonts w:ascii="Times New Roman;Times;Serif" w:hAnsi="Times New Roman;Times;Serif"/>
          <w:b w:val="false"/>
          <w:i w:val="false"/>
          <w:caps w:val="false"/>
          <w:smallCaps w:val="false"/>
          <w:sz w:val="20"/>
        </w:rPr>
        <w:t>, neither Parent nor the Surviving Company shall be obligated to pay annual premiums in excess of 300% of the annual premium most recently paid by Parent prior to the date of this Agreement for such insurance (the “</w:t>
      </w:r>
      <w:r>
        <w:rPr>
          <w:rFonts w:ascii="Times New Roman;Times;Serif" w:hAnsi="Times New Roman;Times;Serif"/>
          <w:b w:val="false"/>
          <w:i w:val="false"/>
          <w:caps w:val="false"/>
          <w:smallCaps w:val="false"/>
          <w:sz w:val="20"/>
          <w:u w:val="single"/>
        </w:rPr>
        <w:t>Current Premium</w:t>
      </w:r>
      <w:r>
        <w:rPr>
          <w:rFonts w:ascii="Times New Roman;Times;Serif" w:hAnsi="Times New Roman;Times;Serif"/>
          <w:b w:val="false"/>
          <w:i w:val="false"/>
          <w:caps w:val="false"/>
          <w:smallCaps w:val="false"/>
          <w:sz w:val="20"/>
        </w:rPr>
        <w:t>”) and if such premiums for such insurance would at any time exceed 300% of the Current Premium, then Parent shall, and shall cause the Surviving Company to, maintain policies of insurance that, in Parent’s and the Surviving Company’s good faith judgment, provide the maximum coverage available at an annual premium equal to 300% of the Current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the event Parent or the Surviving Company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succeed to the obligations set forth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Parent shall cause the Surviving Company to perform all of the obligations of the Surviving Company under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each of Parent and the Company shall take all such steps as may be necessary or appropriate to cause the acquisitions of Parent Capital Stock (including derivative securities with respect to such Parent Common Stock) resulting from the Contemplated Transactions by each individual who will become subject to the reporting requirements of Section 16(a) of the Exchange Act with respect to Parent to be exempt under Rule 16b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made by the Company or Parent in compliance with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Notwithstanding the foregoing, a party need not consult with any other parties in connection with such portion of any press release, public statement or filing to be issued or made pursuant to </w:t>
      </w:r>
      <w:r>
        <w:rPr>
          <w:rFonts w:ascii="Times New Roman;Times;Serif" w:hAnsi="Times New Roman;Times;Serif"/>
          <w:b w:val="false"/>
          <w:i w:val="false"/>
          <w:caps w:val="false"/>
          <w:smallCaps w:val="false"/>
          <w:sz w:val="20"/>
          <w:u w:val="single"/>
        </w:rPr>
        <w:t>Section 7.3(d)</w:t>
      </w:r>
      <w:r>
        <w:rPr>
          <w:rFonts w:ascii="Times New Roman;Times;Serif" w:hAnsi="Times New Roman;Times;Serif"/>
          <w:b w:val="false"/>
          <w:i w:val="false"/>
          <w:caps w:val="false"/>
          <w:smallCaps w:val="false"/>
          <w:sz w:val="20"/>
        </w:rPr>
        <w:t xml:space="preserve"> or with respect to any Acquisition Proposal, Company Board Adverse Recommendation Change, Parent Board Adverse Recommendation Change, or pursuant to </w:t>
      </w:r>
      <w:r>
        <w:rPr>
          <w:rFonts w:ascii="Times New Roman;Times;Serif" w:hAnsi="Times New Roman;Times;Serif"/>
          <w:b w:val="false"/>
          <w:i w:val="false"/>
          <w:caps w:val="false"/>
          <w:smallCaps w:val="false"/>
          <w:sz w:val="20"/>
          <w:u w:val="single"/>
        </w:rPr>
        <w:t>Section 7.3(e)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From the date hereof until the Effective Time, Parent shall use commercially reasonable efforts to maintain its existing listing on Nasdaq until the Effective Time. At or prior to the Effective Time, (a) Parent and the Company shall reasonably cooperate to seek approval of the listing of the combined corporation on Nasdaq, (b) in accordance with the rules and regulations of Nasdaq, prepare and submit (with the prior approval of the Company) to Nasdaq a notification form for the listing of shares of Parent Common Stock to be issued in connection with the Contemplated Transactions, and (c) prepare and timely submit to Nasdaq a notification form for the Nasdaq Reverse Stock Split (if required) and submit a copy of the amendment to Parent’s certificate of incorporation effecting the Nasdaq Reverse Stock Split, certified by the Secretary of State of the State of Delaware to Nasdaq on the Closing Date. In accordance with Nasdaq Marketplace Rule 5110, the Company shall prepare and file an initial listing application for the Parent Common Stock on Nasdaq (the “</w:t>
      </w:r>
      <w:r>
        <w:rPr>
          <w:rFonts w:ascii="Times New Roman;Times;Serif" w:hAnsi="Times New Roman;Times;Serif"/>
          <w:b w:val="false"/>
          <w:i w:val="false"/>
          <w:caps w:val="false"/>
          <w:smallCaps w:val="false"/>
          <w:sz w:val="20"/>
          <w:u w:val="single"/>
        </w:rPr>
        <w:t>Nasdaq Listing Application</w:t>
      </w:r>
      <w:r>
        <w:rPr>
          <w:rFonts w:ascii="Times New Roman;Times;Serif" w:hAnsi="Times New Roman;Times;Serif"/>
          <w:b w:val="false"/>
          <w:i w:val="false"/>
          <w:caps w:val="false"/>
          <w:smallCaps w:val="false"/>
          <w:sz w:val="20"/>
        </w:rPr>
        <w:t xml:space="preserve">”), and from the date hereof until the Effective Time, Parent shall assist the Company in preparing and filing such Nasdaq Listing Application and to seek to cause such Nasdaq Listing Application to be conditionally approved prior to the Effective Time. Each party will reasonably promptly inform the other party of all verbal or written communications between Nasdaq and such party or its Representatives. Parent will cooperate with the Company as reasonably requested by the Company with respect to the Nasdaq Listing Application and use commercially reasonable efforts to reasonably promptly furnish to the Company all information concerning Parent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intend that (i) the Merger shall be treated as a transaction that qualifies as a “reorganization” within the meaning of Section 368(a) of the Code, and (ii) the Merger shall qualify as a non-taxable exchange of shares of Company Common Stock for shares of Parent Common Stock within the meaning of Section 351(a) of the Code. Each of Parent, Merger Sub and the Company shall use reasonable best efforts to cause the Merger to qualify, and agree not to, and not to permit or cause any of their Affiliates to, take any action or cause any action to be taken which to its knowledge would reasonably be expected to (A) prevent or impede the Merger from qualifying, as a “reorganization” within the meaning of Section 368(a) of the Code or (B) prevent or impede the Merger from qualifying as a non-taxable exchange of shares of Company Common Stock for shares of Parent Common Stock within the meaning of Section 351(a) of the Code (the “</w:t>
      </w:r>
      <w:r>
        <w:rPr>
          <w:rFonts w:ascii="Times New Roman;Times;Serif" w:hAnsi="Times New Roman;Times;Serif"/>
          <w:b w:val="false"/>
          <w:i w:val="false"/>
          <w:caps w:val="false"/>
          <w:smallCaps w:val="false"/>
          <w:sz w:val="20"/>
          <w:u w:val="single"/>
        </w:rPr>
        <w:t>U.S. Tax Treatment</w:t>
      </w:r>
      <w:r>
        <w:rPr>
          <w:rFonts w:ascii="Times New Roman;Times;Serif" w:hAnsi="Times New Roman;Times;Serif"/>
          <w:b w:val="false"/>
          <w:i w:val="false"/>
          <w:caps w:val="false"/>
          <w:smallCaps w:val="false"/>
          <w:sz w:val="20"/>
        </w:rPr>
        <w:t>”). This Agreement is intended to constitute, and the parties hereto hereby adopt this Agreement as, a “plan of reorganization” within the meaning of Treasury Regulation Sections 1.368-2(g) and 1.368-3(a). Each of Parent, Merger Sub and the Company shall report the Merger as a “reorganization” within the meaning of Section 368(a) of the Code unless otherwise required pursuant to a “determination” within the meaning of Section 1313(a) of the Code, including attaching the statement described in Treasury Regulations Section 1.368-3(a) on or with its Tax Return for the taxable year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connection with the preparation and filing of the Registration Statement or any other filing required by applicable Law or the SEC’s review thereof, the SEC requests or requires that a tax opinion with respect to the U.S. federal income tax consequences of the Merger and the intended U.S. Tax Treatment be prepared and submitted (a “</w:t>
      </w:r>
      <w:r>
        <w:rPr>
          <w:rFonts w:ascii="Times New Roman;Times;Serif" w:hAnsi="Times New Roman;Times;Serif"/>
          <w:b w:val="false"/>
          <w:i w:val="false"/>
          <w:caps w:val="false"/>
          <w:smallCaps w:val="false"/>
          <w:sz w:val="20"/>
          <w:u w:val="single"/>
        </w:rPr>
        <w:t>Tax Opinion</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(i) Parent and the Company shall each use their respective reasonable best efforts to deliver to Wilmer Cutler Pickering Hale and Dorr LLP, counsel to Parent, and to Goodwin Procter LLP, counsel to the Company, customary Tax representation letters satisfactory to each such counsel, dated and executed as of the date such relevant filing shall have been declared effective by the SEC and such other date(s) as determined to be reasonably necessary by each such counsel in connection with the preparation and filing of such Registration Statement or any other filing required by applicable Law, (ii) Parent shall use its reasonable best efforts to cause Wilmer Cutler Pickering Hale and Dorr LLP to furnish a Tax Opinion addressed to Parent, subject to customary assumptions and limitations, satisfactory to the SEC, and (iii) the Company shall use its reasonable best efforts to cause Goodwin Procter LLP to furnish a Tax Opinion addressed to the Company, subject to customary assumptions and limitations, satisfactory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xml:space="preserve">. Until successors are duly elected or appointed and qualified in accordance with applicable Law, the parties shall use commercially reasonable efforts to take all necessary actions so that the Persons listed on </w:t>
      </w:r>
      <w:r>
        <w:rPr>
          <w:rFonts w:ascii="Times New Roman;Times;Serif" w:hAnsi="Times New Roman;Times;Serif"/>
          <w:b w:val="false"/>
          <w:i w:val="false"/>
          <w:caps w:val="false"/>
          <w:smallCaps w:val="false"/>
          <w:sz w:val="20"/>
          <w:u w:val="single"/>
        </w:rPr>
        <w:t>Sections 2.6(c)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2.6(d)</w:t>
      </w:r>
      <w:r>
        <w:rPr>
          <w:rFonts w:ascii="Times New Roman;Times;Serif" w:hAnsi="Times New Roman;Times;Serif"/>
          <w:b w:val="false"/>
          <w:i w:val="false"/>
          <w:caps w:val="false"/>
          <w:smallCaps w:val="false"/>
          <w:sz w:val="20"/>
        </w:rPr>
        <w:t xml:space="preserve"> of the Company Disclosure Letter are elected or appointed, as applicable, to the positions of officers and directors of Parent and the Surviving Company, as set forth therein, to serve in such positions effective as of the Effective Time. If any Person listed on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2.6(d)</w:t>
      </w:r>
      <w:r>
        <w:rPr>
          <w:rFonts w:ascii="Times New Roman;Times;Serif" w:hAnsi="Times New Roman;Times;Serif"/>
          <w:b w:val="false"/>
          <w:i w:val="false"/>
          <w:caps w:val="false"/>
          <w:smallCaps w:val="false"/>
          <w:sz w:val="20"/>
        </w:rPr>
        <w:t xml:space="preserve"> of the Company Disclosure Letter is unable or unwilling to serve as officer or director of Parent or the Surviving Company, as set forth therein, the party appointing such Person (as set forth on </w:t>
      </w:r>
      <w:r>
        <w:rPr>
          <w:rFonts w:ascii="Times New Roman;Times;Serif" w:hAnsi="Times New Roman;Times;Serif"/>
          <w:b w:val="false"/>
          <w:i w:val="false"/>
          <w:caps w:val="false"/>
          <w:smallCaps w:val="false"/>
          <w:sz w:val="20"/>
          <w:u w:val="single"/>
        </w:rPr>
        <w:t>Sections 2.6(c)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2.6(d)</w:t>
      </w:r>
      <w:r>
        <w:rPr>
          <w:rFonts w:ascii="Times New Roman;Times;Serif" w:hAnsi="Times New Roman;Times;Serif"/>
          <w:b w:val="false"/>
          <w:i w:val="false"/>
          <w:caps w:val="false"/>
          <w:smallCaps w:val="false"/>
          <w:sz w:val="20"/>
        </w:rPr>
        <w:t> of the Company Disclosure Letter) shall designate a successor. The parties shall use reasonable best efforts to have each of the Persons that will serve as directors and officers of the Parent following the Closing to execute and deliver a Lock-Up Agreement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Obligations of Merger Sub</w:t>
      </w:r>
      <w:r>
        <w:rPr>
          <w:rFonts w:ascii="Times New Roman;Times;Serif" w:hAnsi="Times New Roman;Times;Serif"/>
          <w:b w:val="false"/>
          <w:i w:val="false"/>
          <w:caps w:val="false"/>
          <w:smallCaps w:val="false"/>
          <w:sz w:val="20"/>
        </w:rPr>
        <w:t>. Parent will take all action necessary to cause Merger Sub to perform its obligations under this Agreement and to consummate the Merger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Allocation Certificate</w:t>
      </w:r>
      <w:r>
        <w:rPr>
          <w:rFonts w:ascii="Times New Roman;Times;Serif" w:hAnsi="Times New Roman;Times;Serif"/>
          <w:b w:val="false"/>
          <w:i w:val="false"/>
          <w:caps w:val="false"/>
          <w:smallCaps w:val="false"/>
          <w:sz w:val="20"/>
        </w:rPr>
        <w:t>. The Company will prepare and deliver to Parent at least five (5) Business Days prior to the Closing Date a spreadsheet setting forth (as of immediately prior to the Effective Time) (a) each holder of the Company Common Stock, (b) such holder’s name and physical address, (c) the number or percentage of the Company Common Stock held as of the Closing Date for each such holder and (d) the number of shares of Parent Capital Stock to be issued to such holder pursuant to this Agreement in respect of the Company Common Stock held by such holder as of immediately prior to the Effective Time (the “</w:t>
      </w:r>
      <w:r>
        <w:rPr>
          <w:rFonts w:ascii="Times New Roman;Times;Serif" w:hAnsi="Times New Roman;Times;Serif"/>
          <w:b w:val="false"/>
          <w:i w:val="false"/>
          <w:caps w:val="false"/>
          <w:smallCaps w:val="false"/>
          <w:sz w:val="20"/>
          <w:u w:val="single"/>
        </w:rPr>
        <w:t>Allocation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   </w:t>
      </w:r>
      <w:r>
        <w:rPr>
          <w:rFonts w:ascii="Times New Roman;Times;Serif" w:hAnsi="Times New Roman;Times;Serif"/>
          <w:b w:val="false"/>
          <w:i w:val="false"/>
          <w:caps w:val="false"/>
          <w:smallCaps w:val="false"/>
          <w:sz w:val="20"/>
          <w:u w:val="single"/>
        </w:rPr>
        <w:t>Concurrent Investment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parties shall use commercially reasonable efforts to enter into Securities Purchase Agreements with one or more investors designated by the Company to subscribe for and purchase a number of shares of Parent Common Stock representing an aggregate commitment (inclusive of the Guarantor Investment Amount) at least equal to the Concurrent Investment Amount and to satisfy the conditions to the Concurrent Investment as set forth in the applicable Securities Purchase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form, terms and conditions of each Securities Purchase Agreement shall be in a form reasonably acceptable to each of the Company and Parent. The Company shall provide Parent at least five (5) Business Days’ written notice prior to the execution of each Securities Purchase Agreement, which such execution shall be subject to the prior consent of Parent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August 1, 2025, Guarantor shall enter into a Securities Purchase Agreement committing to purchase not less than the Guarantor Investment Amount, with terms (other than the Guarantor Investment Amount) and conditions of such Securities Purchase Agreement to be substantially similar to the terms of the Securities Purchase Agreement entered into by other investors of the Concurrent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the earlier of (i) the Closing and (ii) the termination of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Parent agrees, and shall cause its officers and employees, to use commercially reasonable efforts to cooperate in connection with the Concurrent Investment as may be reasonably requested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or immediately following the Closing, in accordance with the terms and conditions of the Securities Purchase Agreement(s), Parent shall consummate the Concurrent Investment, and issue the equity contemplated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   </w:t>
      </w:r>
      <w:r>
        <w:rPr>
          <w:rFonts w:ascii="Times New Roman;Times;Serif" w:hAnsi="Times New Roman;Times;Serif"/>
          <w:b w:val="false"/>
          <w:i w:val="false"/>
          <w:caps w:val="false"/>
          <w:smallCaps w:val="false"/>
          <w:sz w:val="20"/>
          <w:u w:val="single"/>
        </w:rPr>
        <w:t>Parent Equity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Parent Board will adopt the 2025 Equity Incentive Plan, subject to the Closing and effective as of the Effective Time, and will include provisions in the Proxy Statement for the stockholders of Parent to approve the 2025 Equity Incentive Plan. Subject to the approval of the 2025 Equity Incentive Plan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Effective Time, the Parent Board will adopt the 2025 ESPP, subject to the Closing and effective as of the Effective Time, and will include provisions in the Proxy Statement for the stockholders of Parent to approve the 2025 ESPP. Subject to the approval of the 2025 ESPP by the stockholders of Parent prior to the Effective Time, Parent shall file with the SEC, promptly after the Effective Time and the Company’s expense, a registration statement on Form S-8 (or any successor form), if available for use by Parent, relating to the shares of Parent Common Stock issuable with respect to the 2025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approval of the 2025 Plans by the stockholders of Parent shall not be a condition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From the date of this Agreement to the Effective Time, Parent shall timely file with the SEC all Parent SEC Documents. As of its filing date, or if amended after the date of this Agreement, as of the date of the last such amendment, each Parent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7.17   </w:t>
      </w:r>
      <w:r>
        <w:rPr>
          <w:rFonts w:ascii="Times New Roman;Times;Serif" w:hAnsi="Times New Roman;Times;Serif"/>
          <w:b w:val="false"/>
          <w:i w:val="false"/>
          <w:caps w:val="false"/>
          <w:smallCaps w:val="false"/>
          <w:sz w:val="20"/>
          <w:u w:val="single"/>
        </w:rPr>
        <w:t>Parent Legacy Assets</w:t>
      </w:r>
      <w:r>
        <w:rPr>
          <w:rFonts w:ascii="Times New Roman;Times;Serif" w:hAnsi="Times New Roman;Times;Serif"/>
          <w:b w:val="false"/>
          <w:i w:val="false"/>
          <w:caps w:val="false"/>
          <w:smallCaps w:val="false"/>
          <w:sz w:val="20"/>
        </w:rPr>
        <w:t xml:space="preserve">. Prior to the Closing Date, but subject to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Parent shall be entitled, but under no obligation, to sell, transfer, license, assign or otherwise divest the Parent Legacy Assets to one or more third parties in one or a series of transactions prior to or substantially, concurrently with the Closing (each an “</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Asset Dispositions</w:t>
      </w:r>
      <w:r>
        <w:rPr>
          <w:rFonts w:ascii="Times New Roman;Times;Serif" w:hAnsi="Times New Roman;Times;Serif"/>
          <w:b w:val="false"/>
          <w:i w:val="false"/>
          <w:caps w:val="false"/>
          <w:smallCaps w:val="false"/>
          <w:sz w:val="20"/>
        </w:rPr>
        <w:t xml:space="preserve">”).   Notwithstanding the foregoing, Parent may not enter into any agreement with respect to any Asset Disposition that would result in a continuing obligation or liability without the prior written consent of the Company (such consent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Parent shall provide the Company with a copy of any agreement with respect to an Asset Disposition that would be reasonably likely to result in such continuing obligation or liability of either Parent or the Company on or after the Effective Time at least five (5) Business Days prior to entry into such agreement. Parent shall (i) permit the Company and its counsel to review and comment on the transaction documents related to any Asset Dispositions (ii) consider any such comments in good faith and shall accept all reasonable additions, deletions or changes suggested by the Company and its counsel in connection therewith; and (iii) not sign any agreements, contracts or other definitive documents (not including term sheets or letters of intent) related to without first providing the Company and its counsel the opportunity to exercise their rights under clauses (i) and (ii) above. For the avoidance of doubt, any sale, transfer, license, assignment or other divestiture of Parent Legacy Assets on or after the Closing Date shall be governed by the terms and conditions of the CVR Agreement. Parent shall deliver an executed copy of the CVR Agreement to the Company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7.18   </w:t>
      </w:r>
      <w:r>
        <w:rPr>
          <w:rFonts w:ascii="Times New Roman;Times;Serif" w:hAnsi="Times New Roman;Times;Serif"/>
          <w:b w:val="false"/>
          <w:i w:val="false"/>
          <w:caps w:val="false"/>
          <w:smallCaps w:val="false"/>
          <w:sz w:val="20"/>
          <w:u w:val="single"/>
        </w:rPr>
        <w:t>Arrangements Between Company and Company Guarantor</w:t>
      </w:r>
      <w:r>
        <w:rPr>
          <w:rFonts w:ascii="Times New Roman;Times;Serif" w:hAnsi="Times New Roman;Times;Serif"/>
          <w:b w:val="false"/>
          <w:i w:val="false"/>
          <w:caps w:val="false"/>
          <w:smallCaps w:val="false"/>
          <w:sz w:val="20"/>
        </w:rPr>
        <w:t>. Prior to the Closing, the Company and the Company Guarantor shall enter into the Transition Services Agreement and the Manufacturing and Supply Agreement, the material terms of which will be substantially final on or prior to July 11, 2025, in each case, by and between the Guarantor and the Company, each in form and substance reasonably satisfactory to the Company and the Guarantor (subject to Parent’s prior written consent, which shall not be unreasonably withheld, conditioned or delayed. At least five (5) Business Days prior to July 11, 2025, the Company shall provide Parent with a reasonable opportunity to review and comment on draft versions of the Transition Services Agreement and the Manufacturing and Supply Agreement and the Company will consider in good faith any reasonable comments provided by Parent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Conditions Precedent of each Party</w:t>
      </w:r>
      <w:r>
        <w:rPr>
          <w:rFonts w:ascii="Times New Roman;Times;Serif" w:hAnsi="Times New Roman;Times;Serif"/>
          <w:b w:val="false"/>
          <w:i w:val="false"/>
          <w:caps w:val="false"/>
          <w:smallCaps w:val="false"/>
          <w:sz w:val="20"/>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shall have become effective in accordance with the provisions of the Securities Act, and shall not be subject to any stop order or proceeding seeking a stop order with respect to the Registration Statement and has not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temporary restraining order, preliminary or permanent injunction or other order preventing the consummation of the Contemplated Transactions shall have been issued by any court of competent jurisdiction or other Governmental Entity of competent jurisdiction and remain in effect and there shall not be any Law which has the effect of making the consummation of the Contemplated Transactions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Parent shall have obtained the Parent Stockholder Approval and (ii) the Company shall have obtained the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Lock-Up Agreements will continue to be in full force and effect as of immediately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Parent Charter Amendment shall have been duly filed with the Secretary of State of the State of Delaware, containing such amendments as are necessary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have obtained approval of the listing of the combined corporation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Conditions Precedent to Obligation of the Company</w:t>
      </w:r>
      <w:r>
        <w:rPr>
          <w:rFonts w:ascii="Times New Roman;Times;Serif" w:hAnsi="Times New Roman;Times;Serif"/>
          <w:b w:val="false"/>
          <w:i w:val="false"/>
          <w:caps w:val="false"/>
          <w:smallCaps w:val="false"/>
          <w:sz w:val="20"/>
        </w:rPr>
        <w:t>. 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except in de minimis respects as of the date of this Agreement and shall be true and correct except in de minimis respects on and as of the Closing Date with the same force and effect as if made on and as of such date, except, in each case, (x) in respect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shall have performed or complied with in all material respects all agreements and covenants required to be performed or complied with by it under this Agreement at or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Parent Material Adverse Effect</w:t>
      </w:r>
      <w:r>
        <w:rPr>
          <w:rFonts w:ascii="Times New Roman;Times;Serif" w:hAnsi="Times New Roman;Times;Serif"/>
          <w:b w:val="false"/>
          <w:i w:val="false"/>
          <w:caps w:val="false"/>
          <w:smallCaps w:val="false"/>
          <w:sz w:val="20"/>
        </w:rPr>
        <w:t>. Since the date of this Agreement, there shall not have occurred any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Net Cash</w:t>
      </w:r>
      <w:r>
        <w:rPr>
          <w:rFonts w:ascii="Times New Roman;Times;Serif" w:hAnsi="Times New Roman;Times;Serif"/>
          <w:b w:val="false"/>
          <w:i w:val="false"/>
          <w:caps w:val="false"/>
          <w:smallCaps w:val="false"/>
          <w:sz w:val="20"/>
        </w:rPr>
        <w:t>. The Company shall have Net Cash of at least (-$1,000,000) (negative one million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The Company shall have received the following documents, each of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certificate executed by an officer of Parent certifying that the conditions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 (c)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have been duly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Conditions Precedent of Parent and Merger Sub</w:t>
      </w:r>
      <w:r>
        <w:rPr>
          <w:rFonts w:ascii="Times New Roman;Times;Serif" w:hAnsi="Times New Roman;Times;Serif"/>
          <w:b w:val="false"/>
          <w:i w:val="false"/>
          <w:caps w:val="false"/>
          <w:smallCaps w:val="false"/>
          <w:sz w:val="20"/>
        </w:rPr>
        <w:t>. The obligations of Parent and Merger Sub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except in de minimis respects as of the date of this Agreement and shall be true and correct except in de minimis respects on and as of the Closing Date with the same force and effect as if made on and as of such date, except, in each case, (x) in respect of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performed or complied with in all material respects all agreements and covenants required to be performed or complied with by it under this Agreement at or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this Agreement, there shall not have occurred 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Parent shall have received a certificate executed by an officer of the Company certifying (i) that the conditions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have been duly satisfied, (ii) that the information set forth in the Allocation Certificate delivered by the Company in accordance with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is true and accurate in all respects as of the Closing Date, and (iii) the Contribution has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Effective Time (whether before or after the adoption of this Agreement by the Company’s stockholders and whether before or after approval of the Parent Stockholder Proposal by Parent’s stockholders, unless otherwise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Parent or the Company if the Merger shall not have been consummated by December 23, 2025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provided, however, that the right to terminate this Agreement under this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shall not be available to the Company or Parent if such party’s (or in the case of Parent, Merger Sub’s) breach of this Agreement has been a principal cause of the failure of the Merger to occur on or before the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Contemplated Transactions, provided, however, that the right to terminate this Agreement under this </w:t>
      </w:r>
      <w:r>
        <w:rPr>
          <w:rFonts w:ascii="Times New Roman;Times;Serif" w:hAnsi="Times New Roman;Times;Serif"/>
          <w:b w:val="false"/>
          <w:i w:val="false"/>
          <w:caps w:val="false"/>
          <w:smallCaps w:val="false"/>
          <w:sz w:val="20"/>
          <w:u w:val="single"/>
        </w:rPr>
        <w:t>Section 9.1(c) </w:t>
      </w:r>
      <w:r>
        <w:rPr>
          <w:rFonts w:ascii="Times New Roman;Times;Serif" w:hAnsi="Times New Roman;Times;Serif"/>
          <w:b w:val="false"/>
          <w:i w:val="false"/>
          <w:caps w:val="false"/>
          <w:smallCaps w:val="false"/>
          <w:sz w:val="20"/>
        </w:rPr>
        <w:t>shall not be available to a party if such party’s (or in the case of Parent, Merger Sub’s) breach of this Agreement is a principal cause of any such Governmental Entity issuing any such order or taking any such other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Parent or the Company if the Company Stockholder Approval shall not have been obtained by written consent of the Company’s sole stockholder in lieu of a meeting within two (2) Business Days of the Registration Statement becoming effective in accordance with the provisions of the Securities Act]; provided, however, that once the Company Stockholder Approval has been obtained, neither party may terminate this Agreement pursuant to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and (ii) the right to terminate this Agreement under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shall not be available to a party if such party’s (or in the case of Parent or Merger Sub’s) breach of this Agreement is a principal cause of the failure of the Company Stockholder Approval to have been obtained on or before such second (2nd)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provided, however, that the right to terminate this Agreement under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shall not be available to a party if such party’s (or in the case of Parent, Merger Sub’s) breach of this Agreement is a principal cause of the failure of the Parent Stockholder Approval to have been obtained at the Parent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(at any time prior to obtaining the Parent Stockholder Approval) if any Parent Triggering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Parent (at any time prior to obtaining the Company Stockholder Approval) if any Company Triggering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Parent’s or Merger Sub’s representations and warranties or breach by Parent or Merger Sub is curable by Parent or Merger Sub, then this Agreement shall not terminate pursuant to this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(it being understood that this Agreement shall not terminate pursuant to this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as a result of such particular breach or inaccuracy if such breach by Parent or Merger Sub is cured prior to such termination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provided that Parent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Times New Roman;Times;Serif" w:hAnsi="Times New Roman;Times;Serif"/>
          <w:b w:val="false"/>
          <w:i w:val="false"/>
          <w:caps w:val="false"/>
          <w:smallCaps w:val="false"/>
          <w:sz w:val="20"/>
          <w:u w:val="single"/>
        </w:rPr>
        <w:t>Section 9.1(i)</w:t>
      </w:r>
      <w:r>
        <w:rPr>
          <w:rFonts w:ascii="Times New Roman;Times;Serif" w:hAnsi="Times New Roman;Times;Serif"/>
          <w:b w:val="false"/>
          <w:i w:val="false"/>
          <w:caps w:val="false"/>
          <w:smallCaps w:val="false"/>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Times;Serif" w:hAnsi="Times New Roman;Times;Serif"/>
          <w:b w:val="false"/>
          <w:i w:val="false"/>
          <w:caps w:val="false"/>
          <w:smallCaps w:val="false"/>
          <w:sz w:val="20"/>
          <w:u w:val="single"/>
        </w:rPr>
        <w:t>Section 9.1(i)</w:t>
      </w:r>
      <w:r>
        <w:rPr>
          <w:rFonts w:ascii="Times New Roman;Times;Serif" w:hAnsi="Times New Roman;Times;Serif"/>
          <w:b w:val="false"/>
          <w:i w:val="false"/>
          <w:caps w:val="false"/>
          <w:smallCaps w:val="false"/>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Times;Serif" w:hAnsi="Times New Roman;Times;Serif"/>
          <w:b w:val="false"/>
          <w:i w:val="false"/>
          <w:caps w:val="false"/>
          <w:smallCaps w:val="false"/>
          <w:sz w:val="20"/>
          <w:u w:val="single"/>
        </w:rPr>
        <w:t>Section 9.1(i)</w:t>
      </w:r>
      <w:r>
        <w:rPr>
          <w:rFonts w:ascii="Times New Roman;Times;Serif" w:hAnsi="Times New Roman;Times;Serif"/>
          <w:b w:val="false"/>
          <w:i w:val="false"/>
          <w:caps w:val="false"/>
          <w:smallCaps w:val="false"/>
          <w:sz w:val="20"/>
        </w:rPr>
        <w:t xml:space="preserve"> (it being understood that this Agreement shall not terminate pursuant to this </w:t>
      </w:r>
      <w:r>
        <w:rPr>
          <w:rFonts w:ascii="Times New Roman;Times;Serif" w:hAnsi="Times New Roman;Times;Serif"/>
          <w:b w:val="false"/>
          <w:i w:val="false"/>
          <w:caps w:val="false"/>
          <w:smallCaps w:val="false"/>
          <w:sz w:val="20"/>
          <w:u w:val="single"/>
        </w:rPr>
        <w:t>Section 9.1(i)</w:t>
      </w:r>
      <w:r>
        <w:rPr>
          <w:rFonts w:ascii="Times New Roman;Times;Serif" w:hAnsi="Times New Roman;Times;Serif"/>
          <w:b w:val="false"/>
          <w:i w:val="false"/>
          <w:caps w:val="false"/>
          <w:smallCaps w:val="false"/>
          <w:sz w:val="20"/>
        </w:rPr>
        <w:t> as a result of such particular breach or inaccuracy if such breach by the Company is cured prior to such termination becoming effective);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by Parent (at any time prior to obtaining the Parent Stockholder Approval) and following compliance with all of the requirements set forth in the proviso to this </w:t>
      </w:r>
      <w:r>
        <w:rPr>
          <w:rFonts w:ascii="Times New Roman;Times;Serif" w:hAnsi="Times New Roman;Times;Serif"/>
          <w:b w:val="false"/>
          <w:i w:val="false"/>
          <w:caps w:val="false"/>
          <w:smallCaps w:val="false"/>
          <w:sz w:val="20"/>
          <w:u w:val="single"/>
        </w:rPr>
        <w:t>Section 9.1(j)</w:t>
      </w:r>
      <w:r>
        <w:rPr>
          <w:rFonts w:ascii="Times New Roman;Times;Serif" w:hAnsi="Times New Roman;Times;Serif"/>
          <w:b w:val="false"/>
          <w:i w:val="false"/>
          <w:caps w:val="false"/>
          <w:smallCaps w:val="false"/>
          <w:sz w:val="20"/>
        </w:rPr>
        <w:t>, concurrently with Parent’s entering into a definitive agreement for a Superior Offer (a “</w:t>
      </w:r>
      <w:r>
        <w:rPr>
          <w:rFonts w:ascii="Times New Roman;Times;Serif" w:hAnsi="Times New Roman;Times;Serif"/>
          <w:b w:val="false"/>
          <w:i w:val="false"/>
          <w:caps w:val="false"/>
          <w:smallCaps w:val="false"/>
          <w:sz w:val="20"/>
          <w:u w:val="single"/>
        </w:rPr>
        <w:t>Permitted Alternative Agreement</w:t>
      </w:r>
      <w:r>
        <w:rPr>
          <w:rFonts w:ascii="Times New Roman;Times;Serif" w:hAnsi="Times New Roman;Times;Serif"/>
          <w:b w:val="false"/>
          <w:i w:val="false"/>
          <w:caps w:val="false"/>
          <w:smallCaps w:val="false"/>
          <w:sz w:val="20"/>
        </w:rPr>
        <w:t xml:space="preserve">”) and after having paid to the Company the Company Termination Fee pursuant to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and (iii) the Parent Board shall have determined in good faith, after consultation with its outside legal counsel, that the failure to enter into such Permitted Alternative Agreement would reasonably be expected to be inconsistent with its fiduciary obligations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By Parent, if the Company otherwise fails to secure the Concurrent Investment Amount such that as of September 15, 2025, Parent has not received, or at any time ceases to have, aggregate commitments equal to or in excess of the Concurrent Investment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shall give a notice of such termination to the other party specifying the provisions hereof pursuant to which such termination is made and the basis therefor described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this Agreement shall be of no further force or effect; provided, however, that (a)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shall not relieve any party of any liability for fraud or for any willful and material breach of any representation, warranty, covenant, obligation or other provision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Expenses; 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all fees and expenses incurred in connection with this Agreement and the Contemplated Transactions shall be paid by the party incurring such expenses, whether or not the Merger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this Agreement is terminated by Parent or the Company pursuant to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Failure to Obtain Parent Stockholder Approval)</w:t>
      </w:r>
      <w:r>
        <w:rPr>
          <w:rFonts w:ascii="Times New Roman;Times;Serif" w:hAnsi="Times New Roman;Times;Serif"/>
          <w:b w:val="false"/>
          <w:i w:val="false"/>
          <w:caps w:val="false"/>
          <w:smallCaps w:val="false"/>
          <w:sz w:val="20"/>
        </w:rPr>
        <w:t xml:space="preserve"> or by the Company pursuant to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Parent Breach</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within two (2) Business Days after termination (or, if applicable, upon such entry into a definitive agreement and/or consummation of a Subsequent Transaction), a nonrefundable fee in an amount equal to $500,000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(i) by the Company or by Parent pursuant to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at End Date</w:t>
      </w:r>
      <w:r>
        <w:rPr>
          <w:rFonts w:ascii="Times New Roman;Times;Serif" w:hAnsi="Times New Roman;Times;Serif"/>
          <w:b w:val="false"/>
          <w:i w:val="false"/>
          <w:caps w:val="false"/>
          <w:smallCaps w:val="false"/>
          <w:sz w:val="20"/>
        </w:rPr>
        <w:t xml:space="preserve">) (at a time when the Company has the right to terminate this Agreement pursuant to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Parent Triggering Event</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Parent Triggering Event</w:t>
      </w:r>
      <w:r>
        <w:rPr>
          <w:rFonts w:ascii="Times New Roman;Times;Serif" w:hAnsi="Times New Roman;Times;Serif"/>
          <w:b w:val="false"/>
          <w:i w:val="false"/>
          <w:caps w:val="false"/>
          <w:smallCaps w:val="false"/>
          <w:sz w:val="20"/>
        </w:rPr>
        <w:t xml:space="preserve">) or (ii) by Parent pursuant to </w:t>
      </w:r>
      <w:r>
        <w:rPr>
          <w:rFonts w:ascii="Times New Roman;Times;Serif" w:hAnsi="Times New Roman;Times;Serif"/>
          <w:b w:val="false"/>
          <w:i w:val="false"/>
          <w:caps w:val="false"/>
          <w:smallCaps w:val="false"/>
          <w:sz w:val="20"/>
          <w:u w:val="single"/>
        </w:rPr>
        <w:t>Section 9.1(j)</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Parent Superior Offer</w:t>
      </w:r>
      <w:r>
        <w:rPr>
          <w:rFonts w:ascii="Times New Roman;Times;Serif" w:hAnsi="Times New Roman;Times;Serif"/>
          <w:b w:val="false"/>
          <w:i w:val="false"/>
          <w:caps w:val="false"/>
          <w:smallCaps w:val="false"/>
          <w:sz w:val="20"/>
        </w:rPr>
        <w:t>),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(i) this Agreement is terminated by Parent or the Company pursuant to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Failure to Obtain Company Stockholder Approval</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Section 9.1(i)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Company Breach</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(ii) at any time after the date of this Agreement and prior to obtaining the Company Stockholder Approval,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within two (2) Business Days after termination (or, if applicable, upon the earlier of such entry into a definitive agreement and/or the consummation of a Subsequent Transaction), a nonrefundable fee in an amount equal to $750,000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by wire transfer of same-day funds to an account designated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this Agreement is terminated by Parent or by the Company pursuant to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at End Date</w:t>
      </w:r>
      <w:r>
        <w:rPr>
          <w:rFonts w:ascii="Times New Roman;Times;Serif" w:hAnsi="Times New Roman;Times;Serif"/>
          <w:b w:val="false"/>
          <w:i w:val="false"/>
          <w:caps w:val="false"/>
          <w:smallCaps w:val="false"/>
          <w:sz w:val="20"/>
        </w:rPr>
        <w:t xml:space="preserve">) (at a time when Parent has the right to terminate this Agreement pursuant to </w:t>
      </w:r>
      <w:r>
        <w:rPr>
          <w:rFonts w:ascii="Times New Roman;Times;Serif" w:hAnsi="Times New Roman;Times;Serif"/>
          <w:b w:val="false"/>
          <w:i w:val="false"/>
          <w:caps w:val="false"/>
          <w:smallCaps w:val="false"/>
          <w:sz w:val="20"/>
          <w:u w:val="single"/>
        </w:rPr>
        <w:t>Section 9.1(g)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Company Triggering Event</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Section 9.1(g)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Company Triggering Event</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Section 9.1(k)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Failure to Obtain Financing</w:t>
      </w:r>
      <w:r>
        <w:rPr>
          <w:rFonts w:ascii="Times New Roman;Times;Serif" w:hAnsi="Times New Roman;Times;Serif"/>
          <w:b w:val="false"/>
          <w:i w:val="false"/>
          <w:caps w:val="false"/>
          <w:smallCaps w:val="false"/>
          <w:sz w:val="20"/>
        </w:rPr>
        <w:t>), then the Company shall pay to Parent the Parent Termination Fee, by wire transfer of same day funds to an account designated by Parent, (x) in the case of a termination by the Company referred to in the foregoing clause, prior (and as a condition) to such termination or (y) in the case of a termination by Parent described in the foregoing clause, within two (2) Business Days after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this Agreement is terminated by Parent or the Company pursuant to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Failure to Obtain Company Stockholder Approval</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Section 9.1(g)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Company Triggering Event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for Failure to Obtain Financing</w:t>
      </w:r>
      <w:r>
        <w:rPr>
          <w:rFonts w:ascii="Times New Roman;Times;Serif" w:hAnsi="Times New Roman;Times;Serif"/>
          <w:b w:val="false"/>
          <w:i w:val="false"/>
          <w:caps w:val="false"/>
          <w:smallCaps w:val="false"/>
          <w:sz w:val="20"/>
        </w:rPr>
        <w:t>), the Company shall reimburse Parent for all reasonable out-of-pocket expenses incurred by Parent in connection with this Agreement and the transactions contemplated hereby, up to a maximum of $500,000, by wire transfer of same-day funds to an account designated by Parent, within two (2) Business Days following the date on which Parent submits to the Company true and correct copies of reasonable documentation supporting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either party fails to pay when due any amount payable by it under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parties agree that, subject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the payment of fees and expenses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shall be the sole and exclusive remedy of each party following a termination of this Agreement under the circumstances described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it being understood that in no event shall either Parent or the Company be required to pay the individual fees, damages payable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on more than one occasion. Subject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following the payment of the fees and expenses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are an integral part of the Contemplated Transactions, (y) without these agreements, the parties would not enter into this Agreement and (z) any amount payable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is not a penalty, but rather is liquidated damages in a reasonable amount that will compensate the parties in the circumstances in which such amount is payable; provided, however, that nothing in this </w:t>
      </w:r>
      <w:r>
        <w:rPr>
          <w:rFonts w:ascii="Times New Roman;Times;Serif" w:hAnsi="Times New Roman;Times;Serif"/>
          <w:b w:val="false"/>
          <w:i w:val="false"/>
          <w:caps w:val="false"/>
          <w:smallCaps w:val="false"/>
          <w:sz w:val="20"/>
          <w:u w:val="single"/>
        </w:rPr>
        <w:t>Section 9.3(g)</w:t>
      </w:r>
      <w:r>
        <w:rPr>
          <w:rFonts w:ascii="Times New Roman;Times;Serif" w:hAnsi="Times New Roman;Times;Serif"/>
          <w:b w:val="false"/>
          <w:i w:val="false"/>
          <w:caps w:val="false"/>
          <w:smallCaps w:val="false"/>
          <w:sz w:val="20"/>
        </w:rPr>
        <w:t xml:space="preserve"> shall limit the rights of the parties under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None of the representations, warranties, covenants or agreements in this Agreement or in any instrument delivered pursuant to this Agreement shall survive the Effective Time, other than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and those covenants or agreements of the parties which by their terms apply, or are to be performed in whole or in part,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Amendment or Supplement</w:t>
      </w:r>
      <w:r>
        <w:rPr>
          <w:rFonts w:ascii="Times New Roman;Times;Serif" w:hAnsi="Times New Roman;Times;Serif"/>
          <w:b w:val="false"/>
          <w:i w:val="false"/>
          <w:caps w:val="false"/>
          <w:smallCaps w:val="false"/>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The rights and remedies of the parties hereunder are cumulative and are not exclusive of any rights or remedies which they would otherwise have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otherwise set forth in this Agreement, all fees and expenses incurred in connection with this Agreement, the Merger and the other Contemplated Transactions shall be paid by the party incurring such fees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duly given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All notices hereunder shall be delivered to the addresses set forth below, or pursuant to such other instructions as may be designated in writing by the party to receive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Parent, Merger Sub,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Carisma Therapeutics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 Market Street, Suite 401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Kelly,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Wilmer Cutler Pickering Hale and Dorr LLP</w:t>
        <w:br/>
        <w:t>7 World Trade Center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Greenwich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10007</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Christopher D. Barnstable-Brown, Esq.</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Nylen, Esq.</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A. Johnson, Esq.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cbb@wilmerhale.com</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mark.nylen@wilmerhale.com</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brian.johnson@wilmerhale.com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Company, to: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OrthoCellix,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Great Valley Parkway</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Pennsylvania 19355</w:t>
        <w:br/>
        <w:t>Attention:       Shankar Musunuri</w:t>
        <w:b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 John F Kennedy Blvd</w:t>
        <w:br/>
        <w:t>Philadelphia, Pennsylvania 19104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Rachael M. Bushey</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Porter</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U. Gulick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RBushey@goodwinlaw.com</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JPorter@goodwinlaw.com</w:t>
      </w:r>
    </w:p>
    <w:p>
      <w:pPr>
        <w:pStyle w:val="TextBody"/>
        <w:bidi w:val="0"/>
        <w:spacing w:before="0" w:after="0"/>
        <w:ind w:left="144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LGulick@goodwinlaw.com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hereto), the Company Disclosure Letter, the Parent Disclosure Letter, the Securities Purchase Agreements, the CVR Agreement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provided, however, that the Confidentiality Agreement shall not be superseded and shall remain in full force and effect in accordance with its terms; provided, further, that only the Certificate of Merger is incorporated by reference and made a part hereof for purposes of Section 251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the Securities Purchase Agreement,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except as set forth in the Securities Purchase Agreement, Persons other than the parties hereto may not rely upon the representations and warranties in this Agreement as characterizations of actual facts or circumstances as of the date of this Agreement or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Guarantor hereby unconditionally guarantees the complete, due and punctual performance of the Company’s obligations set forth in this Agreement, including all representations, warranties, covenants and other obligations. This guaranty is an irrevocable guaranty of performance and shall continue in effect notwithstanding any extension or modification of the terms of this Agreement or any other act or event which might otherwise operate as a legal or equitable discharge of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disputes or controversies arising out of or relating to this Agreement or the Contemplated Transactions shall be governed by, and construed in accordance with, the internal laws of the State of Delaware, without regard to the laws of any other jurisdiction that might be applied because of the conflicts of laws principles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Contemplated Transactions.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Contemplated Transactions,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Assignment; Successors</w:t>
      </w:r>
      <w:r>
        <w:rPr>
          <w:rFonts w:ascii="Times New Roman;Times;Serif" w:hAnsi="Times New Roman;Times;Serif"/>
          <w:b w:val="false"/>
          <w:i w:val="false"/>
          <w:caps w:val="false"/>
          <w:smallCaps w:val="false"/>
          <w:sz w:val="20"/>
        </w:rPr>
        <w:t>.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seek an injunction, specific performance and other equitable relief to prevent breaches of this Agreement and to enforce specifically the terms and provisions hereof in the Court of Chancery of the State of Delaware,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and will not oppose the granting of an injunction, specific performance or other equitable relief on the basis of (a) any defense in any action for specific performance that a remedy at law would be adequate and (b) any requirement under any law to post any bond, surety or other security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TO THIS AGREEMENT HEREBY IRREVOCABLY WAIVES ALL RIGHT TO A TRIAL BY JURY IN ANY ACTION, PROCEEDING OR COUNTERCLAIM ARISING OUT OF OR RELATING TO THIS AGREEMENT OR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all of which shall be considered one and the same instrument and shall become effective when one or more counterparts have been signed by each of the parties and delivered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w:t>
      </w:r>
      <w:r>
        <w:rPr>
          <w:rFonts w:ascii="Times New Roman;Times;Serif" w:hAnsi="Times New Roman;Times;Serif"/>
          <w:b w:val="false"/>
          <w:i w:val="false"/>
          <w:caps w:val="false"/>
          <w:smallCaps w:val="false"/>
          <w:sz w:val="20"/>
          <w:u w:val="single"/>
        </w:rPr>
        <w:t>Facsimile or .pdf Signature</w:t>
      </w:r>
      <w:r>
        <w:rPr>
          <w:rFonts w:ascii="Times New Roman;Times;Serif" w:hAnsi="Times New Roman;Times;Serif"/>
          <w:b w:val="false"/>
          <w:i w:val="false"/>
          <w:caps w:val="false"/>
          <w:smallCaps w:val="false"/>
          <w:sz w:val="20"/>
        </w:rPr>
        <w:t>. This Agreement may be executed by facsimile or .pdf signature and a facsimile or .pdf signature shall constitute an original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Parent, Merger Sub and the Company acknowledges that each party to this Agreement has been represented by counsel in connection with this Agreement and the Contemplated Transactions. Accordingly, any rule of law or any legal decision that would require interpretation of any claimed ambiguities in this Agreement against the drafting party has no application and is expressly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CARISMA THERAPEUTICS INC.</w:t>
            </w:r>
          </w:p>
        </w:tc>
      </w:tr>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Kelly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Steven Kelly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AZALEA MERGER SUB, INC.</w:t>
            </w:r>
          </w:p>
        </w:tc>
      </w:tr>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Kelly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Steven Kelly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320"/>
        <w:gridCol w:w="4550"/>
      </w:tblGrid>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OCUGEN, INC.</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Shankar Musunuri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Shankar Musunuri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Chief Executive Officer &amp; Co-Founder</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ORTHOCELLIX, INC.</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Shankar Musunuri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Shankar Musunuri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tm2518620d2_ex10-1.htm"/>
      <w:bookmarkStart w:id="5" w:name="kstm2518620d2_ex10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VALUE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CONTINGENT VALUE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dated as of [●], 2025, is entered into by and between </w:t>
      </w:r>
      <w:r>
        <w:rPr>
          <w:rFonts w:ascii="Times New Roman;Times;Serif" w:hAnsi="Times New Roman;Times;Serif"/>
          <w:b/>
          <w:i w:val="false"/>
          <w:smallCaps/>
          <w:sz w:val="20"/>
        </w:rPr>
        <w:t>Carisma Therapeutics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Computershare Inc. a Delaware corporation (“</w:t>
      </w:r>
      <w:r>
        <w:rPr>
          <w:rFonts w:ascii="Times New Roman;Times;Serif" w:hAnsi="Times New Roman;Times;Serif"/>
          <w:b/>
          <w:i w:val="false"/>
          <w:caps w:val="false"/>
          <w:smallCaps w:val="false"/>
          <w:sz w:val="20"/>
        </w:rPr>
        <w:t>Computershare</w:t>
      </w:r>
      <w:r>
        <w:rPr>
          <w:rFonts w:ascii="Times New Roman;Times;Serif" w:hAnsi="Times New Roman;Times;Serif"/>
          <w:b w:val="false"/>
          <w:i w:val="false"/>
          <w:caps w:val="false"/>
          <w:smallCaps w:val="false"/>
          <w:sz w:val="20"/>
        </w:rPr>
        <w:t>”), and its affiliate, Computershare Trust Company, N.A., a federally chartered trust company (collectively, as “</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Parent, </w:t>
      </w:r>
      <w:r>
        <w:rPr>
          <w:rFonts w:ascii="Times New Roman;Times;Serif" w:hAnsi="Times New Roman;Times;Serif"/>
          <w:b/>
          <w:i w:val="false"/>
          <w:smallCaps/>
          <w:sz w:val="20"/>
        </w:rPr>
        <w:t>Azalea Merger Sub, Inc.</w:t>
      </w:r>
      <w:r>
        <w:rPr>
          <w:rFonts w:ascii="Times New Roman;Times;Serif" w:hAnsi="Times New Roman;Times;Serif"/>
          <w:b w:val="false"/>
          <w:i w:val="false"/>
          <w:caps w:val="false"/>
          <w:smallCaps w:val="false"/>
          <w:sz w:val="20"/>
        </w:rPr>
        <w:t>, a Delaware corporation and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OrthoCellix,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have entered into an Agreement and Plan of Merger, dated as of [●], 2025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Pursuant to the Merger Agreement, and in accordance with the terms and conditions thereof, Parent has agreed to provide to the Holders (as defined herein) contingent value rights as hereinafter described.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parties have done all things reasonably necessary to make the contingent value rights, when issued pursuant to the Merger Agreement and hereunder, the valid obligations of Parent and to make this Agreement a valid and binding agreement of Parent,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have the meanings ascribed thereto in the Merger Agreement. The following terms have the meanings ascribed to them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Acting Holders</w:t>
      </w:r>
      <w:r>
        <w:rPr>
          <w:rFonts w:ascii="Times New Roman;Times;Serif" w:hAnsi="Times New Roman;Times;Serif"/>
          <w:b w:val="false"/>
          <w:i w:val="false"/>
          <w:caps w:val="false"/>
          <w:smallCaps w:val="false"/>
          <w:sz w:val="20"/>
        </w:rPr>
        <w:t>” means, at the time of determination, the Holders of at least 40% of the outstanding CVRs, as reflected on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 the acquisition in one transaction or a series of related transactions, by any Person or group (within the meaning of Section 13(d)(3) of the Securities Exchange Act of 1934) of the securities of Parent possessing more than 50% of the total combined voting power of all outstanding securities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Change of Control will not result upon such acquisition of ownership if such acquisition occurs as a result of: (i) a public offering of Parent’s securities or any financing transaction or series of financing transactions, in each case for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financing purposes or (ii) a merger or consolidation involving Parent where the holders of the outstanding voting securities of Parent immediately prior to such merger or consolidation (taken in the aggregate) possess beneficial ownership of 50% or more of the total combined voting power of all outstanding voting securities of Parent, the surviving entity, the acquiring entity or a parent or holding company of the acquiring entity, immediately after such merger or consolidation); or (b) the sale, transfer, exclusive license or other disposition (in one transaction or a series of related transactions) of all or substantially all of the assets of Parent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set forth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$0.001 par value,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w:t>
      </w:r>
      <w:r>
        <w:rPr>
          <w:rFonts w:ascii="Times New Roman;Times;Serif" w:hAnsi="Times New Roman;Times;Serif"/>
          <w:b w:val="false"/>
          <w:i w:val="false"/>
          <w:caps w:val="false"/>
          <w:smallCaps w:val="false"/>
          <w:sz w:val="20"/>
        </w:rPr>
        <w:t>” means a contingent contractual right of Holders to receive CVR Payments pursuant to the Merger Agreement and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w:t>
      </w:r>
      <w:r>
        <w:rPr>
          <w:rFonts w:ascii="Times New Roman;Times;Serif" w:hAnsi="Times New Roman;Times;Serif"/>
          <w:b w:val="false"/>
          <w:i w:val="false"/>
          <w:caps w:val="false"/>
          <w:smallCaps w:val="false"/>
          <w:sz w:val="20"/>
        </w:rPr>
        <w:t>” means a cash payment equal to (i) the Net Proceeds received by Parent to the extent such payment relates to a Parent Legacy Transaction entered into during the Disposition Period, if any plus (ii) the Net Proceeds received by Parent to the extent such payment relates to any royalties, milestones or other payments received by Parent following the Closing Date under Parent’s existing agreements as set forth on Schedule 1.1</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in its reasonable discretion as determined by the Board of Directors, may withhold up to 10% of any CVR Payment solely to the extent (a) that express contractual indemnity obligations under any Disposition Agreement are in excess of any escrow fund established therein, in each case to the extent not already deducted as Permitted Deductions and (b) of any Loss arising out of any third-party claims, demands, actions, or other proceedings relating to or in connection with any Parent Legacy Assets during the CVR Period that have been finally determined;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any such withheld Gross Proceeds shall be distributed (net of any Permitted Deductions actually applied against such Gross Proceeds within the (1) year period following such withholding) to the Holders no later than the date that is sixty (60) days following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anniversary of the date such Gross Proceeds would have otherwise been distributed to the Holders in the CVR Payment from which such Gross Proceeds were otherwise deducted;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such withholding shall not be permitted if (x) the applicable indemnification period under the applicable Disposition Agreement related to such CVR Payment has expired by its terms when the CVR Payment is received or (y) the maximum aggregate liability in respect of the applicable indemnification obligations has been held back or setoff (including any amounts deposited in escrow) by the purchaser or acquiror under the applicable Disposition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Amount</w:t>
      </w:r>
      <w:r>
        <w:rPr>
          <w:rFonts w:ascii="Times New Roman;Times;Serif" w:hAnsi="Times New Roman;Times;Serif"/>
          <w:b w:val="false"/>
          <w:i w:val="false"/>
          <w:caps w:val="false"/>
          <w:smallCaps w:val="false"/>
          <w:sz w:val="20"/>
        </w:rPr>
        <w:t>” means with respect to each CVR Payment and each Holder, an amount equal to such CVR Payment divided by the total number of CVRs and then multiplied by the total number of CVRs held by such Holder as reflected on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Statement</w:t>
      </w:r>
      <w:r>
        <w:rPr>
          <w:rFonts w:ascii="Times New Roman;Times;Serif" w:hAnsi="Times New Roman;Times;Serif"/>
          <w:b w:val="false"/>
          <w:i w:val="false"/>
          <w:caps w:val="false"/>
          <w:smallCaps w:val="false"/>
          <w:sz w:val="20"/>
        </w:rPr>
        <w:t>” means, for a given CVR Payment, a written statement of Parent, signed on behalf of Parent, setting forth in reasonable detail and certifying the calculation of the applicable CVR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Term</w:t>
      </w:r>
      <w:r>
        <w:rPr>
          <w:rFonts w:ascii="Times New Roman;Times;Serif" w:hAnsi="Times New Roman;Times;Serif"/>
          <w:b w:val="false"/>
          <w:i w:val="false"/>
          <w:caps w:val="false"/>
          <w:smallCaps w:val="false"/>
          <w:sz w:val="20"/>
        </w:rPr>
        <w:t>” means the period beginning on the Closing and ending upon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this Agreement]</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Disposition Agreement</w:t>
      </w:r>
      <w:r>
        <w:rPr>
          <w:rFonts w:ascii="Times New Roman;Times;Serif" w:hAnsi="Times New Roman;Times;Serif"/>
          <w:b w:val="false"/>
          <w:i w:val="false"/>
          <w:caps w:val="false"/>
          <w:smallCaps w:val="false"/>
          <w:sz w:val="20"/>
        </w:rPr>
        <w:t>” means a definitive written agreement providing for a Parent Legacy Transaction that is entered into during the Disposition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Disposition Period</w:t>
      </w:r>
      <w:r>
        <w:rPr>
          <w:rFonts w:ascii="Times New Roman;Times;Serif" w:hAnsi="Times New Roman;Times;Serif"/>
          <w:b w:val="false"/>
          <w:i w:val="false"/>
          <w:caps w:val="false"/>
          <w:smallCaps w:val="false"/>
          <w:sz w:val="20"/>
        </w:rPr>
        <w:t>” means the period beginning on the execution date of the Merger Agreement and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Gross Proceeds</w:t>
      </w:r>
      <w:r>
        <w:rPr>
          <w:rFonts w:ascii="Times New Roman;Times;Serif" w:hAnsi="Times New Roman;Times;Serif"/>
          <w:b w:val="false"/>
          <w:i w:val="false"/>
          <w:caps w:val="false"/>
          <w:smallCaps w:val="false"/>
          <w:sz w:val="20"/>
        </w:rPr>
        <w:t>” means, without duplication, the sum of all cash consideration and all cash proceeds from the sale of non-cash consideration of any kind that is actually paid to Parent or any of its Affiliates, or is actually received by Parent or any of its Affiliates, solely as such consideration relates to a Parent Legacy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CVRs are registered in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Schedule 1.1 to be updated as of the closing date, as applicable.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Date to be agreed pending asset sale status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liability, indebtedness, obligation, expense, claim, deficiency, guaranty or endorsement of any kind, whether accrued, absolute, contingent, matured, unmatured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means, for any CVR Payment, Gross Proceeds minus Permitted Deductions, all as calculated, to the extent in accordance with GAAP, in a manner consistent with Parent’s accounting practices and the most recently filed annual audited financial statements with the SEC, except as otherwise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or the chief financial officer of Parent, in their respective official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Legacy Assets</w:t>
      </w:r>
      <w:r>
        <w:rPr>
          <w:rFonts w:ascii="Times New Roman;Times;Serif" w:hAnsi="Times New Roman;Times;Serif"/>
          <w:b w:val="false"/>
          <w:i w:val="false"/>
          <w:caps w:val="false"/>
          <w:smallCaps w:val="false"/>
          <w:sz w:val="20"/>
        </w:rPr>
        <w:t>” means all assets, technology and Intellectual Property of Parent, as they existed at any time prior to the date of this Agreement, relating to the Company’s research and development programs, as conducted and proposed to be conducted, including its CT-0525, CT-0508, CT-1119 and its engineered macrophage, and in vivo mRNA/lipid nanopartical CAR-M programs and its partnership with ModernaTX, Inc., including, for purposes of clarity, the tangible and intangible assets of Parent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Legacy Transaction</w:t>
      </w:r>
      <w:r>
        <w:rPr>
          <w:rFonts w:ascii="Times New Roman;Times;Serif" w:hAnsi="Times New Roman;Times;Serif"/>
          <w:b w:val="false"/>
          <w:i w:val="false"/>
          <w:caps w:val="false"/>
          <w:smallCaps w:val="false"/>
          <w:sz w:val="20"/>
        </w:rPr>
        <w:t>” means the sale, license, transfer, disposition, divestiture or other monetization transaction (i.e., a royalty transaction) and/or winding down of, and/or the sale, license, transfer, disposition, divestiture or other monetization transaction (i.e., a royalty transaction) or other disposition of any Parent Legacy Assets, in each cased entered into during the Disposition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Parent or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Deductions</w:t>
      </w:r>
      <w:r>
        <w:rPr>
          <w:rFonts w:ascii="Times New Roman;Times;Serif" w:hAnsi="Times New Roman;Times;Serif"/>
          <w:b w:val="false"/>
          <w:i w:val="false"/>
          <w:caps w:val="false"/>
          <w:smallCaps w:val="false"/>
          <w:sz w:val="20"/>
        </w:rPr>
        <w:t>” means the sum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applicable Tax (including any applicable value added or sales taxes) imposed on Gross Proceeds and payable by Parent (regardless of whether the due date for such Taxes arises during or after the Disposition Period) and, without duplication, any income or other similar Taxes payable by Parent or any of its Affiliates that would not have been incurred by Parent or any of its Affiliates but for the Gross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calculating income Taxes incurred by Parent in respect of the Gross Proceeds, any such income Taxes shall be computed assuming the only items of income are the Gross Proceeds attributable to the gain recognized by Parent from the Parent Legacy Transaction and after reduction for any net operating loss carryforwards or other Tax attributes of Parent as of the Closing Date that are available to offset such gain after taking into account any limits of the usability of such attributes, including under Section 382 of the Code, as reasonably determined by Parent’s tax advisers (and for the sake of clarity such income taxes shall be calculated without taking into account any net operating losses or other tax attributes generated by Parent or its Affiliates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reasonable and documented out-of-pocket costs and expenses incurred by Parent to preserve the Parent Legacy Assets for sale or in respect of its performance of this Agreement following the Closing Date, including any damages, liabilities arising under any Disposition Agreement, including any incurred in litigation or other dispute resolution therefor, and including (i) any costs related to the prosecution, maintenance or enforcement by Parent or any of its Subsidiaries of intellectual property rights (but excluding any costs related to a breach of this Agreement, including costs incurred in litigation or dispute resolution in respect of the same), or (ii) any costs related to monetary liabilities of or relating to the Parent Legacy Assets that remain with the Parent following the consummation of any Parent Legacy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reasonable and documented out-of-pocket costs or expenses incurred by Parent in connection with the negotiation, entry into and closing of any Parent Legacy Transaction, including any brokerage fee, finder’s fee, or other transaction fee, or other fee, commission or expense owed to any broker, finder, investment bank, auditor, accountant, counsel, advisor or other third party in relation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losses incurred by Parent arising out of any third-party claims, demands, actions, or other proceedings relating to or in connection with any Parent Legacy Transaction, including indemnification obligations of Parent set forth in any Disposition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liabilities incurred during the CVR Term that would have been required to be included in the calculation of Net Cash (as defined in the Merger Agreement) arising solely out of a Disposition Agreement to the extent not taken into account in the calculation of Net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xml:space="preserve">” means a transfer of CVRs (a) upon death of a Holder by will or intestacy or by instrument to an inter vivos or testamentary trust in which the CVRs are to be passed to beneficiaries upon the death of the trustee;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(e) if the Holder is a partnership or limited liability company, a distribution by the transferring partnership or limited liability company to its partners or members, as applicable or (f)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t>CONTINGENT VALUE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Holders of CVRs; Appointment of Rights Agent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represent the rights of Holders to receive contingent CVR Payments pursuant to this Agreement. The CVRs shall be issued and distributed by Parent in the form a dividend in connection with the Merger, and the initial Holders will be the holders of Common Stock as of immediately prior to the Effective Time. One CVR will be issued with respect to each share of Common Stock that is outstanding as of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hereby appoints the Rights Agent to act as Rights Agent for Parent in accordance with the express terms and conditions set forth in this Agreement, and the Rights Agent hereby accepts such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Non-transferable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CVRs may not be sold, assigned, transferred, pledged, encumbered or in any other manner transferred or disposed of, in whole or in part, other than through a Permitted Transfer. Any attempted sale, assignment, transfer, pledge, encumbrance or disposal that is not a Permitted Transfer shall be void ab initio and of no effect. The CVRs will not be listed on any quotation system or traded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No Certificate; Registration; Registration of Transfer; Change of Address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be issued in book-entry form only and will not be evidenced by a certificate or other instrument. Holders’ rights and obligations in respect of CVRs derive solely from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receipt by the Rights Agent of the information and instructions described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the Rights Agent shall create and maintain a register (the “</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for the purpose of registering CVRs and Permitted Transfers. The CVR Register will be created, and CVRs will be distributed, pursuant to written instructions to the Rights Agent from Parent. The CVR Register will initially show one position for Cede &amp; Co. representing shares of Common Stock held by DTC on behalf of the street holders of the shares of Common Stock held by such Holders as of immediately prior to the Effective Time. With respect to any payments or issuances to be made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below, the Rights Agent will accomplish the payment to any former street name holders of shares Common Stock by sending one lump-sum payment or issuance to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register the transfer of the CVRs in the CVR Register. Parent and the Rights Agent shall not be responsible for, and may require evidence of payment of a sum sufficient to cover (or evidence that such Taxes and charges are not applicable), any stamp, documentary, registration, or other Tax or governmental charge that is imposed in connection with any such registration of transfer.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shall be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will provide written instructions to the Rights Agent for the distribution of CVRs to holders of Common Stock as of immediately prior to the Effective Time (the “</w:t>
      </w:r>
      <w:r>
        <w:rPr>
          <w:rFonts w:ascii="Times New Roman;Times;Serif" w:hAnsi="Times New Roman;Times;Serif"/>
          <w:b/>
          <w:i w:val="false"/>
          <w:caps w:val="false"/>
          <w:smallCaps w:val="false"/>
          <w:sz w:val="20"/>
        </w:rPr>
        <w:t>Record Time</w:t>
      </w:r>
      <w:r>
        <w:rPr>
          <w:rFonts w:ascii="Times New Roman;Times;Serif" w:hAnsi="Times New Roman;Times;Serif"/>
          <w:b w:val="false"/>
          <w:i w:val="false"/>
          <w:caps w:val="false"/>
          <w:smallCaps w:val="false"/>
          <w:sz w:val="20"/>
        </w:rPr>
        <w:t>”). Subject to the terms and conditions of this Agreement and Parent’s prompt confirmation of the Effective Time, the Rights Agent shall effect the distribution of the CVRs, less any applicable tax withholding, to each holder of Common Stock as of the Record Time by the mailing of a statement of holding reflecting such CVRs.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i w:val="false"/>
          <w:caps w:val="false"/>
          <w:smallCaps w:val="false"/>
          <w:sz w:val="20"/>
          <w:u w:val="single"/>
        </w:rPr>
        <w:t>Payment Procedures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forty-five (45) days following the end of each calendar quarter during which Parent receives a CVR Payment during the CVR Term, Parent shall deliver to the Rights Agent a CVR Payment Statement. Concurrent with the delivery of each CVR Payment Statement, on the terms and conditions of this Agreement, Parent shall pay the Rights Agent in U.S. dollars an amount equal to one-hundred percent (100%) of the applicable Net Proceeds (if any) for the applicable CVR Payment. Such amount of Net Proceeds will be transferred by wire transfer of immediately available funds to an account designated in writing by the Rights Agent not less than ten (10) Business Days prior to the date of the applicable payment. Upon receipt of the wire transfer referred to in the foregoing sentence, the Rights Agent shall promptly (and in any event, within ten (10) Rights Agent, an amount equal to such Holder’s CVR Payment Amount. The Rights Agent shall, upon any Holder’s request in writing and as soon as practicable after receipt of a CVR Payment Statement under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send such Holder at its registered address a copy of such statement. For the avoidance of doubt Parent shall have no further liability in respect of the relevant CVR Payment upon delivery of such CVR Payment in accordance with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the satisfaction of each of Parent’s obligations set forth in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solicit from each Holder an IRS Form W-9 or applicable IRS Form W-8 at such time or times as is necessary to permit any payment under this Agreement to be made without U.S. federal backup withholding. That notwithstanding, Parent shall be entitled to deduct and withhold and hereby authorizes the Rights Agent to deduct and withhold, any tax or similar governmental charge or levy, that is required to be deducted or withheld under applicable law from any amounts payable pursuant to this Agreement (“</w:t>
      </w:r>
      <w:r>
        <w:rPr>
          <w:rFonts w:ascii="Times New Roman;Times;Serif" w:hAnsi="Times New Roman;Times;Serif"/>
          <w:b/>
          <w:i w:val="false"/>
          <w:caps w:val="false"/>
          <w:smallCaps w:val="false"/>
          <w:sz w:val="20"/>
        </w:rPr>
        <w:t>Withholding Taxes</w:t>
      </w:r>
      <w:r>
        <w:rPr>
          <w:rFonts w:ascii="Times New Roman;Times;Serif" w:hAnsi="Times New Roman;Times;Serif"/>
          <w:b w:val="false"/>
          <w:i w:val="false"/>
          <w:caps w:val="false"/>
          <w:smallCaps w:val="false"/>
          <w:sz w:val="20"/>
        </w:rPr>
        <w:t xml:space="preserve">”). To the extent the amounts are so withheld by Parent or the Rights Agent, as the case may be, such withheld amounts shall be treated for all purposes of this Agreement as having been paid to the person in respect of whom such deduction and withholding was made. In the event Parent becomes aware that a payment under this Agreement is subject to Withholding Taxes (other than U.S. federal backup withholding), Parent shall use commercially reasonable efforts to provide written notice to the Rights Agent and the Rights Agent shall use commercially reasonable efforts to provide written notice of such Withholding Taxes to the applicable Holders and a reasonable opportunity for the Holder to provide any necessary Tax forms, including an IRS Form W-9 or appropriate IRS Form W-8, as applicable, in order to reduce such withholding amounts;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time period for payment of a CVR Payment by the Rights Agent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will be extended by a period equal to any delay caused by the Holder providing such forms. For the avoidance of doubt, in the event that notice has been provided to an applicable Holder pursuant to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no further notice shall be required to be given for any future payments of such Withholding Tax. Parent will use commercially reasonable efforts to provide withholding and reporting instructions in writing (email being sufficient) to the Rights Agent from time to time as relevant, and upon reasonable request of the Rights Agent. The Rights Agent shall have no responsibilities with respect to tax withholding, reporting or payment except specifically instructed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portion of a CVR Payment that remains undistributed to the Holders six (6) months after the delivery of a CVR Payment Statement (including by means of uncashed checks or invalid addresses on the CVR Register) will be delivered by the Rights Agent to Parent or a person nominated in writing by Parent (with written notice thereof from Parent to the Rights Agent), and any Holder will thereafter look only to Parent for payment of such CVR Payment (which shall be without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CVR Payment (or portion thereof) remains unclaimed by a Holder two (2) years after the delivery of a CVR Payment Statement (or immediately prior to such earlier date on which such CVR Payment would otherwise escheat to or become the property of any Governmental Entity), such CVR Payment (or portion thereof) will, to the extent permitted by applicable Law, become the property of Parent and will be transferred to Parent or a person nominated in writing by Parent (with written notice thereof from Parent to the Rights Agent), free and clear of all claims or interest of any Person previously entitled thereto, and no consideration or compensation shall be payable therefor.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a public office or a person nominated in writing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U.S. federal income and other applicable Tax purposes, the parties hereto agree to treat (i) the issuance of the CVRs as a distribution of property (and not debt or equity of Parent) by Parent to the stockholders of Parent governed by Section 301 of the Code, and (ii) the amount of any CVR Payment as a contractual payment pursuant to the rights afforded by this Agreement to the Holder and not as a distribution by Parent in respect of Parent stock (collectively,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Consistent with the Intended Tax Treatment, Parent will send, or cause to be sent, IRS Forms 1099-DIV to all Holders notifying them of the portion of the CVR value that is a non-dividend distribution (or a dividend to the extent of Parent’s current or accumulated earnings and profits) for U.S. federal income Tax purposes. The parties hereto will not take any position contrary to the Intended Tax Treatment on any Tax Return or for other Tax purposes, except as may be required by a change in applicable Law or pursuant to a final “determination” within the meaning of Section 1313(a) of the Code, in each case, after the date hereof. Parent will independently retain and pay for the services of a third-party valuation firm to determine the fair market value of the CVRs and Parent will utilize such fair market value for purposes of all Tax reporting (including on IRS Forms 1099-DIV) with respect to the CVRs.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i w:val="false"/>
          <w:caps w:val="false"/>
          <w:smallCaps w:val="false"/>
          <w:sz w:val="20"/>
          <w:u w:val="single"/>
        </w:rPr>
        <w:t>No Voting, Dividends or Interest; No Equity or Ownership Interest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not have any voting or dividend rights, and interest will not accrue on any amounts payable in respect of CVRs to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sole right of the Holders to receive property hereunder is the right to receive CVR Payments, if any, in accordance with the terms hereof. It is hereby acknowledged and agreed that a CVR shall not constitute a security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be construed as conferring upon any Holder, by virtue of the CVRs, any rights or obligations of any kind or nature whatsoever as a stockholder or member of Parent or any of its subsidiaries either at law or in equity. The rights of any Holder and the obligations of Parent and its Affiliates and their respective officers, directors and controlling Persons are contract rights limited to those expressly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voting in favor of the adoption of the Merger Agreement, the approval of the principal terms of the Merger, and the consummation of the Merger and receiving the benefits thereof, including the receipt of CVRs in connection therewith and any consideration payable in connection with the CVRs, each Holder hereby acknowledges and agrees that the CVRs and the possibility of any payment hereunder with respect thereto are highly speculative and subject to numerous factors outside of Parent’s control, and there is no assurance that Holders will receive any payments under this Agreement or in connection with the CVRs. Each Holder acknowledges that it is highly possible that no Parent Legacy Transaction will occur prior to the expiration of the Disposition Period and that there will not be any Gross Proceeds that may be the subject of a CVR Payment Amount. It is further acknowledged and agreed that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is an essential and material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2.6 </w:t>
      </w:r>
      <w:r>
        <w:rPr>
          <w:rFonts w:ascii="Times New Roman;Times;Serif" w:hAnsi="Times New Roman;Times;Serif"/>
          <w:b/>
          <w:i w:val="false"/>
          <w:caps w:val="false"/>
          <w:smallCaps w:val="false"/>
          <w:sz w:val="20"/>
          <w:u w:val="single"/>
        </w:rPr>
        <w:t>Ability to Abandon CVR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at any time, at such Holder’s option,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Nothing in this Agreement is intended to prohibit Parent or its Affiliates from offering to acquire or acquiring CVRs, in private transactions or otherwise, for consideration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THE RIGHTS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Certain Duties and Responsibilities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intentional breach, bad faith, fraud or gross negligence of the Rights Agent (in each case as determined by a final non-appealable judgment of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Certain Rights of Rights Agent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Rights Agent may rely and will be protected by Parent in acting or refraining from acting upon any resolution, certificate, statement, instrument, opinion, report, notice, request, direction, consent, order or other paper or document reasonably believed by it to be genuine and to have been signed or presented by or on behalf of Parent or, with respect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the Acting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Rights Agent deems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fraud, gross negligence or willful misconduct (each as determined by a final non-appealable judgment of a court of competent jurisdiction) on its part, not incur any liability and shall be held harmless by Parent for or in respect of any action taken, suffered or omitted to be taken by it under the provisions of this Agreement in reliance upon such Officer’s Certificate; provided, that, Parent shall not be authorized to deliver an Officer’s Certificate inconsistent with the provisions set forth in this Agreement without the prior written consent of the Acting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suffered or not taken by the Rights Agent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permissive rights of the Rights Agent hereunder will not be construed as a duty.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not be required to give any note or surety in respect of the execution of its powers or otherwise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agrees to indemnify the Rights Agent for, and to hold the Rights Agent harmless from and against, any loss, liability, damage, judgment, fine, penalty, claim, demand, settlement, cost or expense (including the reasonable and documented fees and expenses of legal counsel)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xml:space="preserve">”) which may be paid, incurred or suffered by or to which it may become subject, arising from or out of, directly or indirectly, any claims or liability resulting from any action taken, suffered or omitted by the Rights Agent in connection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willful misconduct, bad faith, fraud or gross negligence; provided that this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shall not apply with respect to income, receipt, franchise or similar Taxes levied against the Rights Agent by a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agrees (i) to pay the fees of the Rights Agent in connection with the Rights Agent’s performance of its obligations hereunder as set forth in a fee schedule agreed upon in writing by the Rights Agent and Parent on or prior to the date of this Agreement (the “</w:t>
      </w:r>
      <w:r>
        <w:rPr>
          <w:rFonts w:ascii="Times New Roman;Times;Serif" w:hAnsi="Times New Roman;Times;Serif"/>
          <w:b/>
          <w:i w:val="false"/>
          <w:caps w:val="false"/>
          <w:smallCaps w:val="false"/>
          <w:sz w:val="20"/>
        </w:rPr>
        <w:t>Fee Schedule</w:t>
      </w:r>
      <w:r>
        <w:rPr>
          <w:rFonts w:ascii="Times New Roman;Times;Serif" w:hAnsi="Times New Roman;Times;Serif"/>
          <w:b w:val="false"/>
          <w:i w:val="false"/>
          <w:caps w:val="false"/>
          <w:smallCaps w:val="false"/>
          <w:sz w:val="20"/>
        </w:rPr>
        <w: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Entity) and governmental charges, incurred by the Rights Agent in the performance of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shall have no responsibility to Parent, any holders of CVRs, any holders of shares of Common Stock or any other Person for interest or earnings on any moneys held by the Rights Agent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Agent shall not be subject to, nor be required to comply with, or determine if any Person has complied with, the Merger Agreement or any other agreement between or among any of Parent, the Company or Holders, even though reference thereto may be made in this Agreement, or to comply with any notice, instruction, direction, request or other communication, paper or document other than as expressly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or the Company resulting from any such act, default, neglect or misconduct, absent willful misconduct, bad faith, fraud or gross negligence (each as determined by a final non-appealable judgment of a court of competent jurisdiction) in the selection and continued employment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Parent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Rights Agent shall not be liable or responsible for any failure of Parent to comply with any of its obligations relating to any registration statement filed with the Securities and Exchange Commission or this Agreement, including without limitation obligations under applicable regulation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The obligations of Parent and the rights of the Rights Agent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the expiration of the CVRs and the termination of this Agreement and the resignation, replacement or removal of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Resignation and Removal; Appointment of Successor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Parent.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Rights Agent resigns, is removed or becomes incapable of acting, Parent will promptly appoint a qualified successor Rights Agent. Notwithstanding the foregoing, if Parent fails to make such appointment within a period of thirty (30) days after giving notice of such removal or after it has been notified in writing of such resignation or incapacity by the resigning or incapacitated Rights Agent, then the any Holder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Each notice will include the name and address of the successor Rights Agent. If Parent fails to send such notice within ten (10) Business Days after acceptance of appointment by a successor Rights Agent, the successor Rights Agent will cause the notice to be mailed at the expense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Acting Holders, Parent will not appoint as a successor Rights Agent any Person that is not a stock transfer agent of national reputation or the corporate trust department of a commercial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Acceptance of Appointment by Successor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successor Rights Agent appointed hereunder will, at or prior to such appointment, execute, acknowledge and deliver to Parent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the request of Parent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List of Holders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will furnish or cause to be furnished to the Rights Agent, in such form as Parent receives from Parent’s transfer agent (or other agent performing similar services for Parent), the names and addresses of the Holders within fifteen (15) Business Days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No Obligations of Public Company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herein to the contrary, (a) Parent and its Affiliates shall have the power and right to control all aspects of their businesses and operations (and all of their assets and products) with respect to any Parent Legacy Assets), and subject to Parent’s compliance with the terms of this Agreement, Parent and its Affiliates may exercise or refrain from exercising such power and right as it may deem appropriate and in the best overall interests of Parent and its Affiliates and its and their stockholders, rather than the interest of the Holders, (b) none of Parent or any of its Affiliates (or any directors, officer, employee, or other representative of the foregoing) owes any fiduciary duty or similar duty or any other implied duties (including the implied covenant of good faith and fair dealing) to any Holder in respect of the CVRs or the Parent Legacy Assets and (c) following the Disposition Period, Parent shall be permitted to take any action in respect of the Parent Legacy Assets in order to satisfy any wind-down and termination Liabilities of the Parent Legacy Assets. For clarity and without limitation of the foregoing, following the Disposition Period without a Parent Legacy Transaction, Parent may take any action in respect of the Parent Legacy Assets in its sole and absolute discretion. Notwithstanding anything else herein, none of Parent or any of its Affiliates may amend, modify, restate, amend and restate, terminate, rescind, sell, dispose of, waive any third-party’s obligations under or otherwise modify or transfer any of the agreements listed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Books and Records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end of the CVR Term, Parent shall, and shall cause its Affiliates to, keep true, complete and accurate records in sufficient detail to support the applicable CVR Payments, if any, payable hereunder in accordance with the terms specified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Audits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the Termination Date and for a period of one (1) year thereafter, Parent shall keep complete and accurate records in sufficient detail to support the accuracy of the payments due hereunder. The Acting Holders shall have the right to cause an independent accounting firm reasonably acceptable to Parent to audit such records for the sole purpose of confirming CVR Payments received by Parent or its Affiliates. Parent may require such accounting firm to execute a reasonable confidentiality agreement with Parent prior to commencing the audit. The accounting firm shall disclose to Rights Agent or the Acting Holders, as applicable, only whether the reports are correct or not and the specific details concerning any discrepancies. No other information shall be shared, and in no event shall Parent be required to provide any Tax returns or any other Tax information it deems confidential to the Acting Holders or any other party. Such audits may be conducted during normal business hours upon reasonable prior written notice to Parent, but no more than frequently than once per year. No accounting period of Parent shall be subject to audit more than one time by the Acting Holders, as applicable. Adjustments (including remittances of underpayments or overpayments disclosed by such audit) shall be made by Parent to reflect the results of such audit, which adjustments shall be paid promptly following receipt of an invoice therefor. Whenever such an adjustment is made, Parent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Parent of the CVR Payment due under this Agreement, in which case Parent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Discussion of duties/obligations of Parent to be discussed pending outcome of legacy asset transaction structures and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t>AMENDMENTS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Amendments Without Consent of Holders or Rights Agent</w:t>
      </w:r>
      <w:r>
        <w:rPr>
          <w:rFonts w:ascii="Times New Roman;Times;Serif" w:hAnsi="Times New Roman;Times;Serif"/>
          <w:b/>
          <w:i w:val="false"/>
          <w:caps w:val="false"/>
          <w:smallCaps w:val="false"/>
          <w:sz w:val="20"/>
        </w:rPr>
        <w:t>.</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9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at any time and from time to time, may (without the consent of any Person, including the Holders, other than the Rights Agent, with such consent not to be unreasonably withheld, conditioned or delayed) enter into one or more amendments to this Agreement for any of the following purposes:</w:t>
      </w:r>
    </w:p>
    <w:p>
      <w:pPr>
        <w:pStyle w:val="TextBody"/>
        <w:bidi w:val="0"/>
        <w:spacing w:before="0" w:after="0"/>
        <w:ind w:left="90" w:right="0" w:firstLine="5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to evidence the succession of another person to Parent and the assumption of any such successor of the covenants of Parent outlined herein in a transaction contemplated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provisions do not adversely affect the interests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may be necessary or appropriate to ensure that the CVRs are not subject to registration under the Securities Act or the Exchange Act and the rules and regulations promulgated thereunder, or any applicable state securities or “blue sky”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or appropriate to ensure that Parent is not required to produce a prospectus or an admission document in order to comply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Parent may reasonably determine to facilitate the administration or performance of obligations under this Agreement and does not adversely affect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cancel the CVRs (i) in the event that any Holder has abandoned its rights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(ii) following a transfer of such CVRs to Parent or its Affiliates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may be necessary or appropriate to ensure that Parent complies with applicable Law;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Parent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Amendments with Consent of Holders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any amendments to this Agreement that may be made by Parent without the consent of any Holder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Acting Holders (whether evidenced in a writing or taken at a meeting of the Holders), Parent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Effect of Amendments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this Agreement will be modified in accordance therewith, such amendment will form a part of this Agreement for all purposes and every Holder will be bound thereby. Upon the delivery of a certificate from an appropriate officer of Parent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Change of Control</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Termination Date, Parent shall not consummate a Change of Control without the consent of the Acting Holders (such consent not to be unreasonably withheld, conditioned or delayed),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Person that is the relevant transferee, assignee, acquiror, delegate or other successor (including by operation of law) in such Change of Control (the “</w:t>
      </w:r>
      <w:r>
        <w:rPr>
          <w:rFonts w:ascii="Times New Roman;Times;Serif" w:hAnsi="Times New Roman;Times;Serif"/>
          <w:b/>
          <w:i w:val="false"/>
          <w:caps w:val="false"/>
          <w:smallCaps w:val="false"/>
          <w:sz w:val="20"/>
        </w:rPr>
        <w:t>Surviving Person</w:t>
      </w:r>
      <w:r>
        <w:rPr>
          <w:rFonts w:ascii="Times New Roman;Times;Serif" w:hAnsi="Times New Roman;Times;Serif"/>
          <w:b w:val="false"/>
          <w:i w:val="false"/>
          <w:caps w:val="false"/>
          <w:smallCaps w:val="false"/>
          <w:sz w:val="20"/>
        </w:rPr>
        <w:t>”) shall assume or succeed to the obligations on all CVRs (when and as due 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has delivered to the Rights Agent an Officer’s Certificate stating that such Change of Control complies with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and that all conditions precedent herein provided for relating to such Change of Control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Successor Substituted</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consummation of any Change of Control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the Surviving Person shall succeed to, and be substituted for, and may exercise every right and power of, and shall assume all of the obligations of Parent under this Agreement with the same effect as if the Surviving Person had been named as Parent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Notices to Rights Agent and to Parent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and other communications (each, 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any party hereunder shall be in writing and shall be deemed to have been duly delivered and received hereunder when sent (a) fees prepaid, via a reputable international overnight courier service in the case of delivery in person, by FedEx or other internationally recognized overnight courier service or (b) on the date sent in the place of delivery if sent by email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Carisma Therapeutics Inc.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 Market Street, Suite 401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Kelly, President and Chief Executive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Wilmer Cutler Pickering Hale and Dorr LLP</w:t>
        <w:br/>
        <w:t>7 World Trade Center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Greenwich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10007</w:t>
      </w:r>
    </w:p>
    <w:p>
      <w:pPr>
        <w:pStyle w:val="TextBody"/>
        <w:bidi w:val="0"/>
        <w:spacing w:before="0" w:after="0"/>
        <w:ind w:left="72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96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3785" w:type="dxa"/>
            <w:tcBorders/>
            <w:vAlign w:val="center"/>
          </w:tcPr>
          <w:p>
            <w:pPr>
              <w:pStyle w:val="TableContents"/>
              <w:bidi w:val="0"/>
              <w:spacing w:before="0" w:after="283"/>
              <w:jc w:val="both"/>
              <w:rPr/>
            </w:pPr>
            <w:r>
              <w:rPr/>
              <w:t>Christopher D. Barnstable-Brown, Esq.</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Nylen, Esq.</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A. Johnson, Esq.</w:t>
      </w:r>
    </w:p>
    <w:p>
      <w:pPr>
        <w:pStyle w:val="TextBody"/>
        <w:bidi w:val="0"/>
        <w:spacing w:before="0" w:after="0"/>
        <w:ind w:left="72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71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E-mail:</w:t>
            </w:r>
          </w:p>
        </w:tc>
        <w:tc>
          <w:tcPr>
            <w:tcW w:w="2120" w:type="dxa"/>
            <w:tcBorders/>
            <w:vAlign w:val="center"/>
          </w:tcPr>
          <w:p>
            <w:pPr>
              <w:pStyle w:val="TableContents"/>
              <w:bidi w:val="0"/>
              <w:spacing w:before="0" w:after="283"/>
              <w:jc w:val="both"/>
              <w:rPr/>
            </w:pPr>
            <w:r>
              <w:rPr/>
              <w:t>cbb@wilmerhale.com</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mark.nylen@wilmerhale.com</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brian.johnson@wilmerhale.com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such party may hereafter specify for the purpose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Notice to Holders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7.3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between Parent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7.4 </w:t>
      </w:r>
      <w:r>
        <w:rPr>
          <w:rFonts w:ascii="Times New Roman;Times;Serif" w:hAnsi="Times New Roman;Times;Serif"/>
          <w:b/>
          <w:i w:val="false"/>
          <w:caps w:val="false"/>
          <w:smallCaps w:val="false"/>
          <w:sz w:val="20"/>
          <w:u w:val="single"/>
        </w:rPr>
        <w:t>Merger or Consolidation or Change of Name of Rights Agent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7.5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be binding upon, and will be enforceable by and inure solely to the benefit of, the Holders, Parent and the Rights Agent and their respective successors and assigns. Except for assignments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the Rights Agent may not assign this Agreement without Parent’s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and Article 6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7.6 </w:t>
      </w:r>
      <w:r>
        <w:rPr>
          <w:rFonts w:ascii="Times New Roman;Times;Serif" w:hAnsi="Times New Roman;Times;Serif"/>
          <w:b/>
          <w:i w:val="false"/>
          <w:caps w:val="false"/>
          <w:smallCaps w:val="false"/>
          <w:sz w:val="20"/>
          <w:u w:val="single"/>
        </w:rPr>
        <w:t>Benefits of Agreement; Action by Acting Holders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express or implied, will give to any Person (other than Parent,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Parent, the Rights Agent, the Holders and their permitted successors and assigns. The Holders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7.7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CVRs will be governed by, and construed in accordance with, the laws of the State of Delaware, without giving effect to any provision of law or rule (whether of the State of Delaware or any other jurisdictions) that would cause the application of the laws of any jurisdictions other than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7.8 </w:t>
      </w:r>
      <w:r>
        <w:rPr>
          <w:rFonts w:ascii="Times New Roman;Times;Serif" w:hAnsi="Times New Roman;Times;Serif"/>
          <w:b/>
          <w:i w:val="false"/>
          <w:caps w:val="false"/>
          <w:smallCaps w:val="false"/>
          <w:sz w:val="20"/>
          <w:u w:val="single"/>
        </w:rPr>
        <w:t>Jurisdiction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of this Agreement; provided that nothing contained herein shall be deemed to limit in any way any right to serve process in any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sz w:val="20"/>
          <w:u w:val="single"/>
        </w:rPr>
        <w:t>SECTION 7.9</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7.10 </w:t>
      </w:r>
      <w:r>
        <w:rPr>
          <w:rFonts w:ascii="Times New Roman;Times;Serif" w:hAnsi="Times New Roman;Times;Serif"/>
          <w:b/>
          <w:i w:val="false"/>
          <w:caps w:val="false"/>
          <w:smallCaps w:val="false"/>
          <w:sz w:val="20"/>
          <w:u w:val="single"/>
        </w:rPr>
        <w:t>Severability Clause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7.11 </w:t>
      </w:r>
      <w:r>
        <w:rPr>
          <w:rFonts w:ascii="Times New Roman;Times;Serif" w:hAnsi="Times New Roman;Times;Serif"/>
          <w:b/>
          <w:i w:val="false"/>
          <w:caps w:val="false"/>
          <w:smallCaps w:val="false"/>
          <w:sz w:val="20"/>
          <w:u w:val="single"/>
        </w:rPr>
        <w:t>Counterparts; Effectiveness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7.12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automatically terminate and be of no further force or effect and, except the rights, protections and immunities of the Rights Agent under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the parties hereto will have no further liability hereunder, and the CVRs will expire without any consideration or compensation therefor, upon the earliest to occur of (a) the expiration of the CVR Term, (b) the expiration of all payment obligations under the Disposition Agreements or any of the agreements listed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or (c) the delivery of a written notice of termination duly executed by Parent and the Acting Holders (such date,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The termination of this Agreement will not affect or limit the right of Holders to receive the CVR Payments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the extent earned prior to the termination of this Agreement, and the provisions applicable thereto will survive the expiration or termination of this Agreement until such CVR Payments, if any, have been made,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7.13 </w:t>
      </w:r>
      <w:r>
        <w:rPr>
          <w:rFonts w:ascii="Times New Roman;Times;Serif" w:hAnsi="Times New Roman;Times;Serif"/>
          <w:b/>
          <w:i w:val="false"/>
          <w:caps w:val="false"/>
          <w:smallCaps w:val="false"/>
          <w:sz w:val="20"/>
          <w:u w:val="single"/>
        </w:rPr>
        <w:t>Funds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sz w:val="20"/>
        </w:rPr>
        <w:t>Funds</w:t>
      </w:r>
      <w:r>
        <w:rPr>
          <w:rFonts w:ascii="Times New Roman;Times;Serif" w:hAnsi="Times New Roman;Times;Serif"/>
          <w:b w:val="false"/>
          <w:i w:val="false"/>
          <w:caps w:val="false"/>
          <w:smallCaps w:val="false"/>
          <w:sz w:val="20"/>
        </w:rPr>
        <w:t>”) shall be held by Computershare, as agent for Parent, and deposited in one or more bank accounts to be maintained by Computershare in its name as agent for Parent. Until paid pursuant to the terms of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or Moody's Investors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Parent, any holder or any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7.14 </w:t>
      </w:r>
      <w:r>
        <w:rPr>
          <w:rFonts w:ascii="Times New Roman;Times;Serif" w:hAnsi="Times New Roman;Times;Serif"/>
          <w:b/>
          <w:i w:val="false"/>
          <w:caps w:val="false"/>
          <w:smallCaps w:val="false"/>
          <w:sz w:val="20"/>
          <w:u w:val="single"/>
        </w:rPr>
        <w:t>Further Assurance by Parent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Parent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7.15 </w:t>
      </w:r>
      <w:r>
        <w:rPr>
          <w:rFonts w:ascii="Times New Roman;Times;Serif" w:hAnsi="Times New Roman;Times;Serif"/>
          <w:b/>
          <w:i w:val="false"/>
          <w:caps w:val="false"/>
          <w:smallCaps w:val="false"/>
          <w:sz w:val="20"/>
          <w:u w:val="single"/>
        </w:rPr>
        <w:t>Confidentiality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and Parent agree that all books, records, information and data pertaining to the business of the other party, including inter alia, personal, non-public CVR holder information, which are exchanged or received pursuant to the negotiation or the carrying out of this Agreement including the Fee Schedule shall remain confidential, and shall not be voluntarily disclosed to any other person other than representatives of the Rights Agent or Parent, except as may be required by Law, including, without limitation, pursuant to subpoenas from state or federal government authorities (e.g., in divorce and criminal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7.16 </w:t>
      </w:r>
      <w:r>
        <w:rPr>
          <w:rFonts w:ascii="Times New Roman;Times;Serif" w:hAnsi="Times New Roman;Times;Serif"/>
          <w:b/>
          <w:i w:val="false"/>
          <w:caps w:val="false"/>
          <w:smallCaps w:val="false"/>
          <w:sz w:val="20"/>
          <w:u w:val="single"/>
        </w:rPr>
        <w:t>Force Majeure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the Rights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7.17 </w:t>
      </w:r>
      <w:r>
        <w:rPr>
          <w:rFonts w:ascii="Times New Roman;Times;Serif" w:hAnsi="Times New Roman;Times;Serif"/>
          <w:b/>
          <w:i w:val="false"/>
          <w:caps w:val="false"/>
          <w:smallCaps w:val="false"/>
          <w:sz w:val="20"/>
          <w:u w:val="single"/>
        </w:rPr>
        <w:t>Construction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reference in this Agreement to a date or time shall be deemed to be such date or time in New York City, United States, unless otherwise specified. The parties hereto and Parent have participated jointly in the negotiation and drafting of this Agreement. In the event an ambiguity or question of intent or interpretation arises, this Agreement shall be construed as if drafted jointly by the parties and Parent and no presumption or burden of proof shall arise favoring or disfavoring any Person by virtue of the authorship of any provision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references herein to “$” are to United States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2889" w:type="dxa"/>
        <w:jc w:val="left"/>
        <w:tblInd w:w="0" w:type="dxa"/>
        <w:tblLayout w:type="fixed"/>
        <w:tblCellMar>
          <w:top w:w="0" w:type="dxa"/>
          <w:left w:w="0" w:type="dxa"/>
          <w:bottom w:w="0" w:type="dxa"/>
          <w:right w:w="0" w:type="dxa"/>
        </w:tblCellMar>
      </w:tblPr>
      <w:tblGrid>
        <w:gridCol w:w="80"/>
        <w:gridCol w:w="1793"/>
        <w:gridCol w:w="1016"/>
      </w:tblGrid>
      <w:tr>
        <w:trPr/>
        <w:tc>
          <w:tcPr>
            <w:tcW w:w="80"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sz w:val="20"/>
              </w:rPr>
            </w:pPr>
            <w:r>
              <w:rPr>
                <w:sz w:val="20"/>
              </w:rPr>
              <w:t>CARISMA THERAPEUTICS INC.</w:t>
            </w:r>
          </w:p>
        </w:tc>
      </w:tr>
      <w:tr>
        <w:trPr/>
        <w:tc>
          <w:tcPr>
            <w:tcW w:w="80"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sz w:val="20"/>
              </w:rPr>
            </w:pPr>
            <w:r>
              <w:rPr>
                <w:sz w:val="20"/>
              </w:rPr>
              <w:t>By:</w:t>
            </w:r>
          </w:p>
        </w:tc>
        <w:tc>
          <w:tcPr>
            <w:tcW w:w="101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sz w:val="20"/>
              </w:rPr>
            </w:pPr>
            <w:r>
              <w:rPr>
                <w:sz w:val="20"/>
              </w:rPr>
              <w:t>Name:</w:t>
            </w:r>
          </w:p>
        </w:tc>
        <w:tc>
          <w:tcPr>
            <w:tcW w:w="101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sz w:val="20"/>
              </w:rPr>
            </w:pPr>
            <w:r>
              <w:rPr>
                <w:sz w:val="20"/>
              </w:rPr>
              <w:t>Title:</w:t>
            </w:r>
          </w:p>
        </w:tc>
        <w:tc>
          <w:tcPr>
            <w:tcW w:w="101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Contingent Value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80"/>
        <w:gridCol w:w="2435"/>
      </w:tblGrid>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20"/>
              </w:rPr>
            </w:pPr>
            <w:r>
              <w:rPr>
                <w:sz w:val="20"/>
              </w:rPr>
              <w:t xml:space="preserve">COMPUTERSHARE TRUST </w:t>
              <w:br/>
              <w:t xml:space="preserve">COMPANY, N.A. and </w:t>
              <w:br/>
              <w:t>COMPUTERSHARE INC.,</w:t>
            </w:r>
          </w:p>
        </w:tc>
      </w:tr>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i/>
                <w:sz w:val="20"/>
              </w:rPr>
            </w:pPr>
            <w:r>
              <w:rPr>
                <w:i/>
                <w:sz w:val="20"/>
              </w:rPr>
              <w:t>On behalf of both entities</w:t>
            </w:r>
          </w:p>
        </w:tc>
      </w:tr>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20"/>
              </w:rPr>
            </w:pPr>
            <w:r>
              <w:rPr>
                <w:sz w:val="20"/>
              </w:rPr>
              <w:t>By:</w:t>
            </w:r>
          </w:p>
        </w:tc>
      </w:tr>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20"/>
              </w:rPr>
            </w:pPr>
            <w:r>
              <w:rPr>
                <w:sz w:val="20"/>
              </w:rPr>
              <w:t>Name:</w:t>
            </w:r>
          </w:p>
        </w:tc>
      </w:tr>
      <w:tr>
        <w:trPr/>
        <w:tc>
          <w:tcPr>
            <w:tcW w:w="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Contingent Value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83" w:type="dxa"/>
            <w:tcBorders/>
            <w:vAlign w:val="center"/>
          </w:tcPr>
          <w:p>
            <w:pPr>
              <w:pStyle w:val="TableContents"/>
              <w:bidi w:val="0"/>
              <w:spacing w:before="0" w:after="283"/>
              <w:jc w:val="both"/>
              <w:rPr/>
            </w:pPr>
            <w:r>
              <w:rPr/>
              <w:t>Collaboration and License Agreement, dated as of January 7, 2022, by and between Carisma Therapeutics Inc. and ModernaTX,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tm2518620d2_ex10-2.htm"/>
      <w:bookmarkStart w:id="7" w:name="kstm2518620d2_ex102"/>
      <w:bookmarkEnd w:id="6"/>
      <w:bookmarkEnd w:id="7"/>
      <w:r>
        <w:rPr>
          <w:rFonts w:ascii="Times New Roman;Times;Serif" w:hAnsi="Times New Roman;Times;Serif"/>
          <w:b/>
          <w:i w:val="false"/>
          <w:caps w:val="false"/>
          <w:smallCaps w:val="false"/>
          <w:sz w:val="20"/>
        </w:rPr>
        <w:t>Exhibit 10.2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Support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is made as of [●], 2025, by and among </w:t>
      </w:r>
      <w:r>
        <w:rPr>
          <w:rFonts w:ascii="Times New Roman;Times;Serif" w:hAnsi="Times New Roman;Times;Serif"/>
          <w:b/>
          <w:i w:val="false"/>
          <w:caps/>
          <w:sz w:val="20"/>
        </w:rPr>
        <w:t>OrthoCellix,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Ocugen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Carisma Therapeutics,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xml:space="preserve">”), and the Person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hereof, the Stockholder is the holder of the number of shares of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of Parent set forth opposite the Stockholder’s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(all Common Stock owned by the Stockholder, or hereafter issued to or otherwise acquired, whether beneficially or of record, or owned by the Stockholder prior to the termination of this Agreement, as well as shares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being referred to herein as the “</w:t>
      </w:r>
      <w:r>
        <w:rPr>
          <w:rFonts w:ascii="Times New Roman;Times;Serif" w:hAnsi="Times New Roman;Times;Serif"/>
          <w:b/>
          <w:i/>
          <w:caps w:val="false"/>
          <w:smallCaps w:val="false"/>
          <w:sz w:val="20"/>
        </w:rPr>
        <w:t>Subject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herewith, the Company, the Guarantor, Parent and Azalea Merger Sub, Inc., a Delaware corporation and wholly owned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have entered into an Agreement and Plan of Merger, dated as of the date hereof (as such agreement may be amended, restated, amended and restated or otherwise modified from time to time,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which provides, among other things, for the merger of Merger Sub with and into the Company, with the Company continuing as the surviving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upon the terms and subject to the conditions set forth in the Merger Agreement (capitalized terms used but not otherwise defined herein shall have the respective meanings ascribed to such terms in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VOTING AGREEMENT; GRANT OF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hereby covenants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Voting of Subject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From and after the date hereof and prior to the Expiration Time (as defined below), at every meeting of the holders of Common Stock (the “</w:t>
      </w:r>
      <w:r>
        <w:rPr>
          <w:rFonts w:ascii="Times New Roman;Times;Serif" w:hAnsi="Times New Roman;Times;Serif"/>
          <w:b/>
          <w:i/>
          <w:caps w:val="false"/>
          <w:smallCaps w:val="false"/>
          <w:sz w:val="20"/>
        </w:rPr>
        <w:t>Parent Stockholders</w:t>
      </w:r>
      <w:r>
        <w:rPr>
          <w:rFonts w:ascii="Times New Roman;Times;Serif" w:hAnsi="Times New Roman;Times;Serif"/>
          <w:b w:val="false"/>
          <w:i w:val="false"/>
          <w:caps w:val="false"/>
          <w:smallCaps w:val="false"/>
          <w:sz w:val="20"/>
        </w:rPr>
        <w:t>”), however called, and at every adjournment or postponement thereof (or pursuant to a written consent if the Parent Stockholders act by written consent in lieu of a meeting), the Stockholder shall, or shall cause the holder of record on any applicable record date to, be present (in person or by proxy) and to vote or cause to be voted the Subject Shares: (i) in favor of adopting the Merger Agreement and approving the Merger and the other Contemplated Transactions, (ii) against approval of any proposal made in opposition to, or in competition with, the Merger Agreement or the consummation of the Merger, and (iii) against any Acquisition Proposal or any agreement, transaction or other matter that is intended to, or would reasonably be expected to impede, interfere with, delay, postpone or materially and adversely affect the consummation of the Merger and the transactions contemplated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Except as permitted under clauses (A) through (J)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that are at any time or from time to time presented for consideration to the Parent Stockholders. In the event of a stock split, stock dividend or distribution, or any change in the Common Stock by reason of any split-up, reverse stock split, recapitalization, combination, reclassification, reincorporation, exchange of shares or the like, the term “Subject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No Inconsistent Arrangements</w:t>
      </w:r>
      <w:r>
        <w:rPr>
          <w:rFonts w:ascii="Times New Roman;Times;Serif" w:hAnsi="Times New Roman;Times;Serif"/>
          <w:b w:val="false"/>
          <w:i w:val="false"/>
          <w:caps w:val="false"/>
          <w:smallCaps w:val="false"/>
          <w:sz w:val="20"/>
        </w:rPr>
        <w:t>. Except as provided hereunder or under the Merger Agreement, prior to the Expiration Time, the Stockholder shall not, directly or indirectly, (a) create any Lien other than restrictions imposed by Law or pursuant to this Agreement on any Subject Shares; (b) transfer, sell, assign, gift or otherwise dispose of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Notwithstanding the foregoing, the Stockholder may (A) Transfer Subject Shares as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the Subject Shares to any beneficiary of the Stockholder or the estate of any such beneficiary; (H) exercise an option or warrant to purchase Common Stock or settle a restricted stock unit or other equity award (including a net or cashless exercise of such option or warrant); (I) Transfer Common Stock to Parent to cover tax withholding obligations of the Stockholder in connection with the vesting, settlement or exercise of any options, warrants, restricted stock units or other equity awards, as applicable; (J) Transfer Common Stock with the prior written consent of Parent;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clauses (A) through (J)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Times;Serif" w:hAnsi="Times New Roman;Times;Serif"/>
          <w:b w:val="false"/>
          <w:i/>
          <w:caps w:val="false"/>
          <w:smallCaps w:val="false"/>
          <w:sz w:val="20"/>
          <w:u w:val="single"/>
        </w:rPr>
        <w:t>provided further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in each case, the underlying shares of Common Stock shall continue to be subject to the restrictions on Transfer set forth in this Agreement notwithstanding that such transferee has not executed a counterpart hereof or joinder hereto; or (K) Transfer Common Stock to another holder of capital stock of Parent that has signed a support agreement in the same form as this Agreement. The Stockholder agrees that any shares of capital stock or other equity voting securities of Parent that such Stockholder acquires or with respect to which such Stockholder otherwise acquires sole or shared voting power (including any proxy) after the execution of this Agreement and prior to the Expiration Time (as defined below), including, without limitation, by gift, succession, in the event of a stock split or as a dividend or distribution of any Shares (“</w:t>
      </w:r>
      <w:r>
        <w:rPr>
          <w:rFonts w:ascii="Times New Roman;Times;Serif" w:hAnsi="Times New Roman;Times;Serif"/>
          <w:b/>
          <w:i/>
          <w:caps w:val="false"/>
          <w:smallCaps w:val="false"/>
          <w:sz w:val="20"/>
        </w:rPr>
        <w:t>New Shares</w:t>
      </w:r>
      <w:r>
        <w:rPr>
          <w:rFonts w:ascii="Times New Roman;Times;Serif" w:hAnsi="Times New Roman;Times;Serif"/>
          <w:b w:val="false"/>
          <w:i w:val="false"/>
          <w:caps w:val="false"/>
          <w:smallCaps w:val="false"/>
          <w:sz w:val="20"/>
        </w:rPr>
        <w:t>”), shall be subject to the terms and conditions of this Agreement to the same extent as if they constituted the Subject Shares. For purposes of this Agreement, “immediate family” shall mean any relationship by blood, marriage or adoption, not more remote than first cousin.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Company is an intended third-party beneficiary of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Irrevocable Proxy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Stockholder hereby revokes (or agrees to cause to be revoked) any proxies that the Stockholder has heretofore granted with respect to the Subject Shares. In the event and to the extent that the Stockholder fails to vote the Subject Shares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at any applicable meeting of the Parent Stockholders or pursuant to any applicable written consent of the stockholders of Parent, the Stockholder shall be deemed to have irrevocably granted to, and appointed, Parent and any of its designees with full power of substitution and resubstitution,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all written consents with respect to the Subject Shares at any and all meetings of the Parent Stockholders or in connection with any action sought to be taken by written consent of the Parent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is given in connection with and granted in consideration of and as an inducement to Parent, Merger Sub and the Company to enter into the Merger Agreement and that such proxy is given to secure the obligations of the Stockholder under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The proxy set forth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with respect to such Subject Shares. Notwithstanding any other provisions of this Agreement, the irrevocable proxy granted hereunder shall automatically terminate upon the termination of this Agreement in accordance with the terms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No Exercise of Appraisal Rights; Waivers</w:t>
      </w:r>
      <w:r>
        <w:rPr>
          <w:rFonts w:ascii="Times New Roman;Times;Serif" w:hAnsi="Times New Roman;Times;Serif"/>
          <w:b w:val="false"/>
          <w:i w:val="false"/>
          <w:caps w:val="false"/>
          <w:smallCaps w:val="false"/>
          <w:sz w:val="20"/>
        </w:rPr>
        <w:t>. In connection with the Contemplated Transactions, the Stockholder hereby irrevocably and unconditionally (a) waives, and agrees to cause to be waived and to prevent the exercise of, any rights of appraisal, any dissenters’ rights and any similar rights (including any notice requirements related thereto) to the extent permitted under applicable Law, relating to the Merger that Stockholder may have by virtue of, or with respect to any Subject Shares (including all rights under Section 262 of the Delaware General Corporation Law, a copy of which is attached hereto as Appendix I) and (b) agrees that the Stockholder will not, under any circumstances in connection with the Contemplated Transactions,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board of directors of Parent (the “</w:t>
      </w:r>
      <w:r>
        <w:rPr>
          <w:rFonts w:ascii="Times New Roman;Times;Serif" w:hAnsi="Times New Roman;Times;Serif"/>
          <w:b/>
          <w:i/>
          <w:caps w:val="false"/>
          <w:smallCaps w:val="false"/>
          <w:sz w:val="20"/>
        </w:rPr>
        <w:t>Parent Board</w:t>
      </w:r>
      <w:r>
        <w:rPr>
          <w:rFonts w:ascii="Times New Roman;Times;Serif" w:hAnsi="Times New Roman;Times;Serif"/>
          <w:b w:val="false"/>
          <w:i w:val="false"/>
          <w:caps w:val="false"/>
          <w:smallCaps w:val="false"/>
          <w:sz w:val="20"/>
        </w:rPr>
        <w:t xml:space="preserve">”), breaches any fiduciary duty of the Parent Board or any member thereof;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Stockholder may defend against, contest or settle any such action, claim, suit or cause of action brought against the Stockholder that relates solely to the Stockholder’s capacity as a director, officer or securityholder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No Solicitation of Transactions</w:t>
      </w:r>
      <w:r>
        <w:rPr>
          <w:rFonts w:ascii="Times New Roman;Times;Serif" w:hAnsi="Times New Roman;Times;Serif"/>
          <w:b w:val="false"/>
          <w:i w:val="false"/>
          <w:caps w:val="false"/>
          <w:smallCaps w:val="false"/>
          <w:sz w:val="20"/>
        </w:rPr>
        <w:t xml:space="preserve">. The Stockholder hereby agrees that, prior to the Expiration Time (as defined below), the Stockholder shall not, directly or indirectly, including through any of its officers, directors or agents: (a) solicit, initiate or knowingly encourage, induce or facilitate the communication, making, submission or announcement of any Acquisition Proposal or Acquisition Inquiry or take any action that could reasonably be expected to lead to an Acquisition Proposal or Acquisition Inquiry; (b) furnish any non-public information regarding Parent to any Person in connection with or in response to an Acquisition Proposal or Acquisition Inquiry; (c) engage in discussions (other than to inform any Person of the existence of the provisions in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(other than an Acceptable Confidentiality Agreement (as defined in the Merger Agreement) permitted under the Merger Agreement); or (f) publicly propose to do any of the foregoing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Stockholder hereby represents and warrants that the Stockholder has read Section 6.4 (No Solicitation) of the Merger Agreement and agrees not to engage in any actions prohibited thereby. Notwithstanding the foregoing, the Stockholder will not be responsible for the breaches by its officers, directors or agents that have otherwise entered into a separate support agreement with Parent (in a form reasonably acceptable to the Company), unless the Stockholder knowingly and intentionally caused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REPRESENTATIONS AND WARRANTIES OF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represents and warrants to Parent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u w:val="single"/>
        </w:rPr>
        <w:t>Organization; Authorization; Binding Agreement</w:t>
      </w:r>
      <w:r>
        <w:rPr>
          <w:rFonts w:ascii="Times New Roman;Times;Serif" w:hAnsi="Times New Roman;Times;Serif"/>
          <w:b w:val="false"/>
          <w:i w:val="false"/>
          <w:caps w:val="false"/>
          <w:smallCaps w:val="false"/>
          <w:sz w:val="20"/>
        </w:rPr>
        <w:t>. The Stockholder, if not a natural person, is duly incorporated or organized, as applicable, validly existing and in good standing under the laws of its jurisdiction of incorporation or organization. The Stockholder has full legal capacity and power, right and authority to (a) execute and deliver this Agreement and to perform the Stockholder’s obligations hereunder and to consummate the transactions contemplated hereby and (b) vote all of the Subject Shares in the manner set forth in this Agreement without the consent or approval of, or any other action on the part of, any other person or entity (including any Governmental Entity).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u w:val="single"/>
        </w:rPr>
        <w:t>Ownership of Subject Shares; Total Shares</w:t>
      </w:r>
      <w:r>
        <w:rPr>
          <w:rFonts w:ascii="Times New Roman;Times;Serif" w:hAnsi="Times New Roman;Times;Serif"/>
          <w:b w:val="false"/>
          <w:i w:val="false"/>
          <w:caps w:val="false"/>
          <w:smallCaps w:val="false"/>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and (c) as provided in the certificate of incorporation or bylaws of Parent. The Subject Shares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Stockholder’s name constitute all of the Common Stock owned by the Stockholder as of the date hereof. Except pursuant to Parent’s certificate of incorporation and bylaws, no Person has any contractual or other right or obligation to purchase or otherwise acquire any of the Subject Shares. For purposes of this Agreement “</w:t>
      </w:r>
      <w:r>
        <w:rPr>
          <w:rFonts w:ascii="Times New Roman;Times;Serif" w:hAnsi="Times New Roman;Times;Serif"/>
          <w:b/>
          <w:i/>
          <w:caps w:val="false"/>
          <w:smallCaps w:val="false"/>
          <w:sz w:val="20"/>
        </w:rPr>
        <w:t>Beneficial Ownership</w:t>
      </w:r>
      <w:r>
        <w:rPr>
          <w:rFonts w:ascii="Times New Roman;Times;Serif" w:hAnsi="Times New Roman;Times;Serif"/>
          <w:b w:val="false"/>
          <w:i w:val="false"/>
          <w:caps w:val="false"/>
          <w:smallCaps w:val="false"/>
          <w:sz w:val="20"/>
        </w:rPr>
        <w:t xml:space="preserve">” shall be interpreted as defined in Rule 13d-3 under the Exchange Act;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u w:val="single"/>
        </w:rPr>
        <w:t>Reliance</w:t>
      </w:r>
      <w:r>
        <w:rPr>
          <w:rFonts w:ascii="Times New Roman;Times;Serif" w:hAnsi="Times New Roman;Times;Serif"/>
          <w:b w:val="false"/>
          <w:i w:val="false"/>
          <w:caps w:val="false"/>
          <w:smallCaps w:val="false"/>
          <w:sz w:val="20"/>
        </w:rPr>
        <w:t>.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Guarantor or any of their respective agents or representatives. The Stockholder understands that such Stockholder (and not Parent, the Company, Guarantor or the Surviving Company) shall be responsible for such Stockholder’s tax liability that may arise as a result of the Merger or the transactions contemplated by the Merger Agreement. The Stockholder understands and acknowledges that the Company, Guarantor, Parent and Merger Sub are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u w:val="single"/>
        </w:rPr>
        <w:t>Absence of Litigation</w:t>
      </w:r>
      <w:r>
        <w:rPr>
          <w:rFonts w:ascii="Times New Roman;Times;Serif" w:hAnsi="Times New Roman;Times;Serif"/>
          <w:b w:val="false"/>
          <w:i w:val="false"/>
          <w:caps w:val="false"/>
          <w:smallCaps w:val="false"/>
          <w:sz w:val="20"/>
        </w:rPr>
        <w:t>.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automatically, without any notice or other action by any Person, upon the earlier of (a) the termination of the Merger Agreement in accordance with its terms and (b) the Effective Time (the “</w:t>
      </w:r>
      <w:r>
        <w:rPr>
          <w:rFonts w:ascii="Times New Roman;Times;Serif" w:hAnsi="Times New Roman;Times;Serif"/>
          <w:b/>
          <w:i/>
          <w:caps w:val="false"/>
          <w:smallCaps w:val="false"/>
          <w:sz w:val="20"/>
        </w:rPr>
        <w:t>Expiration Time</w:t>
      </w:r>
      <w:r>
        <w:rPr>
          <w:rFonts w:ascii="Times New Roman;Times;Serif" w:hAnsi="Times New Roman;Times;Serif"/>
          <w:b w:val="false"/>
          <w:i w:val="false"/>
          <w:caps w:val="false"/>
          <w:smallCaps w:val="false"/>
          <w:sz w:val="20"/>
        </w:rPr>
        <w:t xml:space="preserve">”). Upon termination of this Agreement, neither party shall have any further obligations or liabilities under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that (i) nothing set forth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relieve either party from liability for any breach of this Agreement prior to termination hereof, and (ii) the provisions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Stockholder may disclose such information (a) to its attorneys, accountants, consultants, trustees, beneficiaries and other representatives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such representatives are subject to confidentiality obligations at least as restrictive as those contained herein), and (b) to any Affiliate, partner, member, stockholder, parent or subsidiary of the Stockholder,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in each case that the Stockholder informs the Person receiving the information that such information is confidential and such Person agrees in writing to abide by the terms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val="false"/>
          <w:i w:val="false"/>
          <w:caps w:val="false"/>
          <w:smallCaps w:val="false"/>
          <w:sz w:val="20"/>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u w:val="single"/>
        </w:rPr>
        <w:t>Binding Effect; Benefit; Assignment</w:t>
      </w:r>
      <w:r>
        <w:rPr>
          <w:rFonts w:ascii="Times New Roman;Times;Serif" w:hAnsi="Times New Roman;Times;Serif"/>
          <w:b w:val="false"/>
          <w:i w:val="false"/>
          <w:caps w:val="false"/>
          <w:smallCaps w:val="false"/>
          <w:sz w:val="20"/>
        </w:rPr>
        <w:t xml:space="preserve">. The provisions of this Agreement shall be binding upon and shall inure to the benefit of the parties hereto and their respective successors and assigns. Except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transfer or assignment shall not relieve Parent of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Times;Serif" w:hAnsi="Times New Roman;Times;Serif"/>
          <w:b/>
          <w:i/>
          <w:caps w:val="false"/>
          <w:smallCaps w:val="false"/>
          <w:sz w:val="20"/>
        </w:rPr>
        <w:t>Delaware Courts</w:t>
      </w:r>
      <w:r>
        <w:rPr>
          <w:rFonts w:ascii="Times New Roman;Times;Serif" w:hAnsi="Times New Roman;Times;Serif"/>
          <w:b w:val="false"/>
          <w:i w:val="false"/>
          <w:caps w:val="false"/>
          <w:smallCaps w:val="false"/>
          <w:sz w:val="20"/>
        </w:rPr>
        <w:t xml:space="preserv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 and (f)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supersedes all prior agreements and understandings, both written and oral, among or between any of the parties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As used in this Agreement, the words “include” and “including,” and variations thereof, shall not be deemed to be terms of limitation, but rather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Except as otherwise indicated, all references in this Agreement to “Sections,” “Articles,” and “Schedules” are intended to refer to Sections or Articles of this Agreement and Schedules to this Agreement,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The bold-faced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u w:val="single"/>
        </w:rPr>
        <w:t>Capacity as Stockholder</w:t>
      </w:r>
      <w:r>
        <w:rPr>
          <w:rFonts w:ascii="Times New Roman;Times;Serif" w:hAnsi="Times New Roman;Times;Serif"/>
          <w:b w:val="false"/>
          <w:i w:val="false"/>
          <w:caps w:val="false"/>
          <w:smallCaps w:val="false"/>
          <w:sz w:val="20"/>
        </w:rPr>
        <w:t>. The Stockholder is entering into this Agreement solely in the Stockholder’s capacity as a holder of Common Stock,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Parent’s organizational documents, the Merger, (b) the Merger Agreement is executed by all parties thereto, and (c) this Agreement is executed by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64" w:type="dxa"/>
        <w:jc w:val="left"/>
        <w:tblInd w:w="0" w:type="dxa"/>
        <w:tblLayout w:type="fixed"/>
        <w:tblCellMar>
          <w:top w:w="0" w:type="dxa"/>
          <w:left w:w="0" w:type="dxa"/>
          <w:bottom w:w="0" w:type="dxa"/>
          <w:right w:w="0" w:type="dxa"/>
        </w:tblCellMar>
      </w:tblPr>
      <w:tblGrid>
        <w:gridCol w:w="75"/>
        <w:gridCol w:w="1022"/>
        <w:gridCol w:w="1967"/>
      </w:tblGrid>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Carisma Therapeutics, Inc.</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sz w:val="20"/>
              </w:rPr>
            </w:pPr>
            <w:r>
              <w:rPr>
                <w:sz w:val="20"/>
              </w:rPr>
              <w:t>By:</w:t>
            </w:r>
          </w:p>
        </w:tc>
        <w:tc>
          <w:tcPr>
            <w:tcW w:w="196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75"/>
        <w:gridCol w:w="679"/>
        <w:gridCol w:w="1306"/>
      </w:tblGrid>
      <w:tr>
        <w:trPr/>
        <w:tc>
          <w:tcPr>
            <w:tcW w:w="75" w:type="dxa"/>
            <w:tcBorders/>
            <w:vAlign w:val="center"/>
          </w:tcPr>
          <w:p>
            <w:pPr>
              <w:pStyle w:val="TableContents"/>
              <w:bidi w:val="0"/>
              <w:spacing w:before="0" w:after="283"/>
              <w:jc w:val="left"/>
              <w:rPr>
                <w:caps/>
              </w:rPr>
            </w:pPr>
            <w:r>
              <w:rPr>
                <w:caps/>
              </w:rPr>
              <w:t> </w:t>
            </w:r>
          </w:p>
        </w:tc>
        <w:tc>
          <w:tcPr>
            <w:tcW w:w="198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OrthoCellix, Inc.</w:t>
            </w:r>
          </w:p>
        </w:tc>
      </w:tr>
      <w:tr>
        <w:trPr/>
        <w:tc>
          <w:tcPr>
            <w:tcW w:w="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sz w:val="20"/>
              </w:rPr>
            </w:pPr>
            <w:r>
              <w:rPr>
                <w:sz w:val="20"/>
              </w:rPr>
              <w:t>By:</w:t>
            </w:r>
          </w:p>
        </w:tc>
        <w:tc>
          <w:tcPr>
            <w:tcW w:w="130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384" w:type="dxa"/>
        <w:jc w:val="left"/>
        <w:tblInd w:w="0" w:type="dxa"/>
        <w:tblLayout w:type="fixed"/>
        <w:tblCellMar>
          <w:top w:w="0" w:type="dxa"/>
          <w:left w:w="0" w:type="dxa"/>
          <w:bottom w:w="0" w:type="dxa"/>
          <w:right w:w="0" w:type="dxa"/>
        </w:tblCellMar>
      </w:tblPr>
      <w:tblGrid>
        <w:gridCol w:w="75"/>
        <w:gridCol w:w="476"/>
        <w:gridCol w:w="833"/>
      </w:tblGrid>
      <w:tr>
        <w:trPr/>
        <w:tc>
          <w:tcPr>
            <w:tcW w:w="75" w:type="dxa"/>
            <w:tcBorders/>
            <w:vAlign w:val="center"/>
          </w:tcPr>
          <w:p>
            <w:pPr>
              <w:pStyle w:val="TableContents"/>
              <w:bidi w:val="0"/>
              <w:spacing w:before="0" w:after="283"/>
              <w:jc w:val="left"/>
              <w:rPr>
                <w:caps/>
              </w:rPr>
            </w:pPr>
            <w:r>
              <w:rPr>
                <w:caps/>
              </w:rPr>
              <w:t> </w:t>
            </w:r>
          </w:p>
        </w:tc>
        <w:tc>
          <w:tcPr>
            <w:tcW w:w="13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Ocugen Inc.</w:t>
            </w:r>
          </w:p>
        </w:tc>
      </w:tr>
      <w:tr>
        <w:trPr/>
        <w:tc>
          <w:tcPr>
            <w:tcW w:w="75"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sz w:val="20"/>
              </w:rPr>
            </w:pPr>
            <w:r>
              <w:rPr>
                <w:sz w:val="20"/>
              </w:rPr>
              <w:t>By:</w:t>
            </w:r>
          </w:p>
        </w:tc>
        <w:tc>
          <w:tcPr>
            <w:tcW w:w="83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269" w:type="dxa"/>
        <w:jc w:val="left"/>
        <w:tblInd w:w="0" w:type="dxa"/>
        <w:tblLayout w:type="fixed"/>
        <w:tblCellMar>
          <w:top w:w="0" w:type="dxa"/>
          <w:left w:w="0" w:type="dxa"/>
          <w:bottom w:w="0" w:type="dxa"/>
          <w:right w:w="0" w:type="dxa"/>
        </w:tblCellMar>
      </w:tblPr>
      <w:tblGrid>
        <w:gridCol w:w="75"/>
        <w:gridCol w:w="3407"/>
        <w:gridCol w:w="1787"/>
      </w:tblGrid>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Title of Signatory, if Signing on Behalf of an Entity)</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8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28" w:type="dxa"/>
          <w:right w:w="0" w:type="dxa"/>
        </w:tblCellMar>
      </w:tblPr>
      <w:tblGrid>
        <w:gridCol w:w="1745"/>
        <w:gridCol w:w="1655"/>
      </w:tblGrid>
      <w:tr>
        <w:trPr/>
        <w:tc>
          <w:tcPr>
            <w:tcW w:w="17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 of Stockholder</w:t>
            </w:r>
          </w:p>
        </w:tc>
        <w:tc>
          <w:tcPr>
            <w:tcW w:w="1655" w:type="dxa"/>
            <w:tcBorders/>
            <w:tcMar>
              <w:bottom w:w="0" w:type="dxa"/>
            </w:tcMar>
            <w:vAlign w:val="center"/>
          </w:tcPr>
          <w:p>
            <w:pPr>
              <w:pStyle w:val="TableContents"/>
              <w:pBdr>
                <w:bottom w:val="single" w:sz="6" w:space="1" w:color="000000"/>
              </w:pBdr>
              <w:bidi w:val="0"/>
              <w:spacing w:before="0" w:after="0"/>
              <w:jc w:val="center"/>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No. Shares       </w:t>
            </w:r>
          </w:p>
        </w:tc>
      </w:tr>
      <w:tr>
        <w:trPr/>
        <w:tc>
          <w:tcPr>
            <w:tcW w:w="1745" w:type="dxa"/>
            <w:tcBorders>
              <w:left w:val="single" w:sz="8" w:space="0" w:color="000000"/>
              <w:bottom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5"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262.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in lieu of fractional shares or fractional depository receipts described in the foregoing paragraphs (b)(2)a. and b. of this section;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[Repealed.]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Appraisal rights shall be perfected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w:t>
      </w:r>
      <w:r>
        <w:rPr>
          <w:rFonts w:ascii="Times New Roman;Times;Serif" w:hAnsi="Times New Roman;Times;Serif"/>
          <w:b w:val="false"/>
          <w:i w:val="false"/>
          <w:caps w:val="false"/>
          <w:smallCaps w:val="false"/>
          <w:sz w:val="20"/>
        </w:rPr>
        <w:t>)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 w:name="tm2518620d2_ex10-3.htm"/>
      <w:bookmarkStart w:id="9" w:name="kstm2518620d2_ex103"/>
      <w:bookmarkEnd w:id="8"/>
      <w:bookmarkEnd w:id="9"/>
      <w:r>
        <w:rPr>
          <w:b/>
        </w:rPr>
        <w:t>Exhibit 10.3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Support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is made as of [●], 2025, by and among </w:t>
      </w:r>
      <w:r>
        <w:rPr>
          <w:rFonts w:ascii="Times New Roman;Times;Serif" w:hAnsi="Times New Roman;Times;Serif"/>
          <w:b/>
          <w:i w:val="false"/>
          <w:caps/>
          <w:sz w:val="20"/>
        </w:rPr>
        <w:t>Orthocellix, Inc.</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Ocugen,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Carisma Therapeutics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xml:space="preserve">”), and the Person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hereof, the Stockholder is the holder of the number of shares of common stock, par value $0.00001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of the Company set forth opposite the Stockholder’s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(all Company Common Stock owned by the Stockholder, or hereafter issued to or otherwise acquired, whether beneficially or of record, or owned by the Stockholder prior to the termination of this Agreement, as well as shares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being referred to herein as the “</w:t>
      </w:r>
      <w:r>
        <w:rPr>
          <w:rFonts w:ascii="Times New Roman;Times;Serif" w:hAnsi="Times New Roman;Times;Serif"/>
          <w:b/>
          <w:i/>
          <w:caps w:val="false"/>
          <w:smallCaps w:val="false"/>
          <w:sz w:val="20"/>
        </w:rPr>
        <w:t>Subject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concurrently herewith, the Company, the Guarantor, Parent and </w:t>
      </w:r>
      <w:r>
        <w:rPr>
          <w:rFonts w:ascii="Times New Roman;Times;Serif" w:hAnsi="Times New Roman;Times;Serif"/>
          <w:b/>
          <w:i w:val="false"/>
          <w:caps/>
          <w:sz w:val="20"/>
        </w:rPr>
        <w:t>Azalea Merger Sub, Inc.</w:t>
      </w:r>
      <w:r>
        <w:rPr>
          <w:rFonts w:ascii="Times New Roman;Times;Serif" w:hAnsi="Times New Roman;Times;Serif"/>
          <w:b w:val="false"/>
          <w:i w:val="false"/>
          <w:caps w:val="false"/>
          <w:smallCaps w:val="false"/>
          <w:sz w:val="20"/>
        </w:rPr>
        <w:t>, a Delaware corporation and wholly owned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have entered into an Agreement and Plan of Merger, dated as of the date hereof (as such agreement may be amended, restated, amended and restated or otherwise modified from time to time,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which provides, among other things, for the merger of Merger Sub with and into the Company, with the Company continuing as the surviving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upon the terms and subject to the conditions set forth in the Merger Agreement (capitalized terms used but not otherwise defined herein shall have the respective meanings ascribed to such terms in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VOTING AGREEMENT; GRANT OF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hereby covenants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Voting of Subject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From and after the date hereof and prior to the Expiration Time (as defined below), at every meeting of the holders of Company Common Stock (the “</w:t>
      </w:r>
      <w:r>
        <w:rPr>
          <w:rFonts w:ascii="Times New Roman;Times;Serif" w:hAnsi="Times New Roman;Times;Serif"/>
          <w:b/>
          <w:i/>
          <w:caps w:val="false"/>
          <w:smallCaps w:val="false"/>
          <w:sz w:val="20"/>
        </w:rPr>
        <w:t>Company Stockholders</w:t>
      </w:r>
      <w:r>
        <w:rPr>
          <w:rFonts w:ascii="Times New Roman;Times;Serif" w:hAnsi="Times New Roman;Times;Serif"/>
          <w:b w:val="false"/>
          <w:i w:val="false"/>
          <w:caps w:val="false"/>
          <w:smallCaps w:val="false"/>
          <w:sz w:val="20"/>
        </w:rPr>
        <w:t>”), however called, and at every adjournment or postponement thereof (or pursuant to a written consent if the Company Stockholders act by written consent in lieu of a meeting), the Stockholder shall, or shall cause the holder of record on any applicable record date to, be present (in person or by proxy) and to vote or cause to be voted the Subject Shares: (i) in favor of adopting the Merger Agreement and approving the Merger and the other Contemplated Transactions, (ii) against approval of any proposal made in opposition to, or in competition with, the Merger Agreement or the consummation of the Merger, and (iii) against any Acquisition Proposal or any agreement, transaction or other matter that is intended to, or would reasonably be expected to impede, interfere with, delay, postpone or materially and adversely affect the consummation of the Merger and the transactions contemplated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In furtherance of subsection (a), promptly following the declaration of effectiveness of the Registration Statement, but in any case within twenty-four (24) hours thereafter, take any action reasonably necessary to cause the Subject Shares held by such Stockholder to be voted in favor of the adoption and approval of the Merger Agreement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(c)            Except as permitted under clauses (A) through (J)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that are at any time or from time to time presented for consideration to the Company Stockholders. In the event of a stock split, stock dividend or distribution, or any change in the Common Stock by reason of any split-up, reverse stock split, recapitalization, combination, reclassification, reincorporation, exchange of shares or the like, the term “Subject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No Inconsistent Arrangements</w:t>
      </w:r>
      <w:r>
        <w:rPr>
          <w:rFonts w:ascii="Times New Roman;Times;Serif" w:hAnsi="Times New Roman;Times;Serif"/>
          <w:b w:val="false"/>
          <w:i w:val="false"/>
          <w:caps w:val="false"/>
          <w:smallCaps w:val="false"/>
          <w:sz w:val="20"/>
        </w:rPr>
        <w:t>. Except as provided hereunder or under the Merger Agreement, prior to the Expiration Time, the Stockholder shall not, directly or indirectly, (a) create any Lien other than restrictions imposed by Law or pursuant to this Agreement on any Subject Shares; (b) transfer, sell, assign, gift or otherwise dispose of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Notwithstanding the foregoing, the Stockholder may (A) Transfer Subject Shares as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the Subject Shares to any beneficiary of the Stockholder or the estate of any such beneficiary; (H) exercise an option or warrant to purchase Company Common Stock or settle a restricted stock unit or other equity award (including a net or cashless exercise of such option or warrant); (I) Transfer Company Common Stock to the Company to cover tax withholding obligations of the Stockholder in connection with the vesting, settlement or exercise of any options, warrants, restricted stock units or other equity awards, as applicable; (J) Transfer Company Common Stock with the prior written consent of Parent;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clauses (A) through (J)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Times;Serif" w:hAnsi="Times New Roman;Times;Serif"/>
          <w:b w:val="false"/>
          <w:i/>
          <w:caps w:val="false"/>
          <w:smallCaps w:val="false"/>
          <w:sz w:val="20"/>
          <w:u w:val="single"/>
        </w:rPr>
        <w:t>provided further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in each case, the underlying shares of Company Common Stock shall continue to be subject to the restrictions on Transfer set forth in this Agreement notwithstanding that such transferee has not executed a counterpart hereof or joinder hereto; or (K) Transfer Company Common Stock to another holder of capital stock of the Company that has signed a support agreement in the same form as this Agreement. The Stockholder agrees that any shares of capital stock or other equity voting securities of the Company that such Stockholder acquires or with respect to which such Stockholder otherwise acquires sole or shared voting power (including any proxy) after the execution of this Agreement and prior to the Expiration Time (as defined below), including, without limitation, by gift, succession, in the event of a stock split or as a dividend or distribution of any Shares (“</w:t>
      </w:r>
      <w:r>
        <w:rPr>
          <w:rFonts w:ascii="Times New Roman;Times;Serif" w:hAnsi="Times New Roman;Times;Serif"/>
          <w:b/>
          <w:i/>
          <w:caps w:val="false"/>
          <w:smallCaps w:val="false"/>
          <w:sz w:val="20"/>
        </w:rPr>
        <w:t>New Shares</w:t>
      </w:r>
      <w:r>
        <w:rPr>
          <w:rFonts w:ascii="Times New Roman;Times;Serif" w:hAnsi="Times New Roman;Times;Serif"/>
          <w:b w:val="false"/>
          <w:i w:val="false"/>
          <w:caps w:val="false"/>
          <w:smallCaps w:val="false"/>
          <w:sz w:val="20"/>
        </w:rPr>
        <w:t>”), shall be subject to the terms and conditions of this Agreement to the same extent as if they constituted the Subject Shares. For purposes of this Agreement, “immediate family” shall mean any relationship by blood, marriage or adoption, not more remote than first cousin.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Company is an intended third-party beneficiary of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Irrevocable Proxy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Stockholder hereby revokes (or agrees to cause to be revoked) any proxies that the Stockholder has heretofore granted with respect to the Subject Shares. In the event and to the extent that the Stockholder fails to vote the Subject Shares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at any applicable meeting of the Company Stockholders or pursuant to any applicable written consent of the stockholders of the Company, the Stockholder shall be deemed to have irrevocably granted to, and appointed, Parent and any of its designees with full power of substitution and resubstitution,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at any and all meetings of the Company Stockholders or in connection with any action sought to be taken by written consent of the Company Stockholders without a meeting and (c) grant or withhold, or issue instructions to the record holder to grant or withhold, consistent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is given in connection with and granted in consideration of and as an inducement to Parent, Merger Sub and the Company to enter into the Merger Agreement and that such proxy is given to secure the obligations of the Stockholder under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The proxy set forth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with respect to such Subject Shares. Notwithstanding any other provisions of this Agreement, the irrevocable proxy granted hereunder shall automatically terminate upon the termination of this Agreement in accordance with the terms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No Exercise of Appraisal Rights; Waivers</w:t>
      </w:r>
      <w:r>
        <w:rPr>
          <w:rFonts w:ascii="Times New Roman;Times;Serif" w:hAnsi="Times New Roman;Times;Serif"/>
          <w:b w:val="false"/>
          <w:i w:val="false"/>
          <w:caps w:val="false"/>
          <w:smallCaps w:val="false"/>
          <w:sz w:val="20"/>
        </w:rPr>
        <w:t>. In connection with the Contemplated Transactions, the Stockholder hereby irrevocably and unconditionally (a) waives, and agrees to cause to be waived and to prevent the exercise of, any rights of appraisal, any dissenters’ rights and any similar rights (including any notice requirements related thereto) to the extent permitted under applicable Law, relating to the Merger that Stockholder may have by virtue of, or with respect to any Subject Shares (including all rights under Section 262 of the Delaware General Corporation Law, a copy of which is attached hereto as Appendix I) and (b) agrees that the Stockholder will not, under any circumstances in connection with the Contemplated Transactions,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xml:space="preserve">”), breaches any fiduciary duty of the Company Board or any member thereof;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Stockholder may defend against, contest or settle any such action, claim, suit or cause of action brought against the Stockholder that relates solely to the Stockholder’s capacity as a director, officer or securityholder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No Solicitation of Transactions</w:t>
      </w:r>
      <w:r>
        <w:rPr>
          <w:rFonts w:ascii="Times New Roman;Times;Serif" w:hAnsi="Times New Roman;Times;Serif"/>
          <w:b w:val="false"/>
          <w:i w:val="false"/>
          <w:caps w:val="false"/>
          <w:smallCaps w:val="false"/>
          <w:sz w:val="20"/>
        </w:rPr>
        <w:t xml:space="preserve">. The Stockholder hereby agrees that, prior to the Expiration Time (as defined below), the Stockholder shall not, directly or indirectly, including through any of its officers, directors or agents: (a) solicit, initiate or knowingly encourage, induce or facilitate the communication, making, submission or announcement of any Acquisition Proposal or Acquisition Inquiry or take any action that could reasonably be expected to lead to an Acquisition Proposal or Acquisition Inquiry; (b) furnish any non-public information regarding the Company to any Person in connection with or in response to an Acquisition Proposal or Acquisition Inquiry; (c) engage in discussions (other than to inform any Person of the existence of the provisions in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(other than an Acceptable Confidentiality Agreement (as defined in the Merger Agreement) permitted under the Merger Agreement); or (f) publicly propose to do any of the foregoing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Stockholder hereby represents and warrants that the Stockholder has read Section 6.4 (No Solicitation) of the Merger Agreement and agrees not to engage in any actions prohibited thereby. Notwithstanding the foregoing, the Stockholder will not be responsible for the breaches by its officers, directors or agents that have otherwise entered into a separate support agreement with the Company (in a form reasonably acceptable to Parent), unless the Stockholder knowingly and intentionally caused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REPRESENTATIONS AND WARRANTIES OF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represents and warrants to Parent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u w:val="single"/>
        </w:rPr>
        <w:t>Organization; Authorization; Binding Agreement</w:t>
      </w:r>
      <w:r>
        <w:rPr>
          <w:rFonts w:ascii="Times New Roman;Times;Serif" w:hAnsi="Times New Roman;Times;Serif"/>
          <w:b w:val="false"/>
          <w:i w:val="false"/>
          <w:caps w:val="false"/>
          <w:smallCaps w:val="false"/>
          <w:sz w:val="20"/>
        </w:rPr>
        <w:t>. The Stockholder, if not a natural person, is duly incorporated or organized, as applicable, validly existing and in good standing under the laws of its jurisdiction of incorporation or organization. The Stockholder has full legal capacity and power, right and authority to (a) execute and deliver this Agreement and to perform the Stockholder’s obligations hereunder and to consummate the transactions contemplated hereby and (b) vote all of the Subject Shares in the manner set forth in this Agreement without the consent or approval of, or any other action on the part of, any other person or entity (including any Governmental Entity).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u w:val="single"/>
        </w:rPr>
        <w:t>Ownership of Subject Shares; Total Shares</w:t>
      </w:r>
      <w:r>
        <w:rPr>
          <w:rFonts w:ascii="Times New Roman;Times;Serif" w:hAnsi="Times New Roman;Times;Serif"/>
          <w:b w:val="false"/>
          <w:i w:val="false"/>
          <w:caps w:val="false"/>
          <w:smallCaps w:val="false"/>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and (c) as provided in the certificate of incorporation or bylaws of the Company. The Subject Shares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Stockholder’s name constitute all of the Company Common Stock owned by the Stockholder as of the date hereof. Except pursuant to the Company’s certificate of incorporation and bylaws, no Person has any contractual or other right or obligation to purchase or otherwise acquire any of the Subject Shares. For purposes of this Agreement “</w:t>
      </w:r>
      <w:r>
        <w:rPr>
          <w:rFonts w:ascii="Times New Roman;Times;Serif" w:hAnsi="Times New Roman;Times;Serif"/>
          <w:b/>
          <w:i/>
          <w:caps w:val="false"/>
          <w:smallCaps w:val="false"/>
          <w:sz w:val="20"/>
        </w:rPr>
        <w:t>Beneficial Ownership</w:t>
      </w:r>
      <w:r>
        <w:rPr>
          <w:rFonts w:ascii="Times New Roman;Times;Serif" w:hAnsi="Times New Roman;Times;Serif"/>
          <w:b w:val="false"/>
          <w:i w:val="false"/>
          <w:caps w:val="false"/>
          <w:smallCaps w:val="false"/>
          <w:sz w:val="20"/>
        </w:rPr>
        <w:t xml:space="preserve">” shall be interpreted as defined in Rule 13d-3 under the Exchange Act;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u w:val="single"/>
        </w:rPr>
        <w:t>Reliance</w:t>
      </w:r>
      <w:r>
        <w:rPr>
          <w:rFonts w:ascii="Times New Roman;Times;Serif" w:hAnsi="Times New Roman;Times;Serif"/>
          <w:b w:val="false"/>
          <w:i w:val="false"/>
          <w:caps w:val="false"/>
          <w:smallCaps w:val="false"/>
          <w:sz w:val="20"/>
        </w:rPr>
        <w:t>.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Guarantor or any of their respective agents or representatives. The Stockholder understands that such Stockholder (and not Parent, the Company, Guarantor or the Surviving Company) shall be responsible for such Stockholder’s tax liability that may arise as a result of the Merger or the transactions contemplated by the Merger Agreement. The Stockholder understands and acknowledges that the Company, Guarantor, Parent and Merger Sub are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u w:val="single"/>
        </w:rPr>
        <w:t>Absence of Litigation</w:t>
      </w:r>
      <w:r>
        <w:rPr>
          <w:rFonts w:ascii="Times New Roman;Times;Serif" w:hAnsi="Times New Roman;Times;Serif"/>
          <w:b w:val="false"/>
          <w:i w:val="false"/>
          <w:caps w:val="false"/>
          <w:smallCaps w:val="false"/>
          <w:sz w:val="20"/>
        </w:rPr>
        <w:t>.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automatically, without any notice or other action by any Person, upon the earlier of (a) the termination of the Merger Agreement in accordance with its terms and (b) the Effective Time (the “</w:t>
      </w:r>
      <w:r>
        <w:rPr>
          <w:rFonts w:ascii="Times New Roman;Times;Serif" w:hAnsi="Times New Roman;Times;Serif"/>
          <w:b/>
          <w:i/>
          <w:caps w:val="false"/>
          <w:smallCaps w:val="false"/>
          <w:sz w:val="20"/>
        </w:rPr>
        <w:t>Expiration Time</w:t>
      </w:r>
      <w:r>
        <w:rPr>
          <w:rFonts w:ascii="Times New Roman;Times;Serif" w:hAnsi="Times New Roman;Times;Serif"/>
          <w:b w:val="false"/>
          <w:i w:val="false"/>
          <w:caps w:val="false"/>
          <w:smallCaps w:val="false"/>
          <w:sz w:val="20"/>
        </w:rPr>
        <w:t xml:space="preserve">”). Upon termination of this Agreement, neither party shall have any further obligations or liabilities under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that (i) nothing set forth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relieve either party from liability for any breach of this Agreement prior to termination hereof, and (ii) the provisions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Stockholder may disclose such information (a) to its attorneys, accountants, consultants, trustees, beneficiaries and other representatives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such representatives are subject to confidentiality obligations at least as restrictive as those contained herein), and (b) to any Affiliate, partner, member, stockholder, parent or subsidiary of the Stockholder,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in each case that the Stockholder informs the Person receiving the information that such information is confidential and such Person agrees in writing to abide by the terms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val="false"/>
          <w:i w:val="false"/>
          <w:caps w:val="false"/>
          <w:smallCaps w:val="false"/>
          <w:sz w:val="20"/>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u w:val="single"/>
        </w:rPr>
        <w:t>Binding Effect; Benefit; Assignment</w:t>
      </w:r>
      <w:r>
        <w:rPr>
          <w:rFonts w:ascii="Times New Roman;Times;Serif" w:hAnsi="Times New Roman;Times;Serif"/>
          <w:b w:val="false"/>
          <w:i w:val="false"/>
          <w:caps w:val="false"/>
          <w:smallCaps w:val="false"/>
          <w:sz w:val="20"/>
        </w:rPr>
        <w:t xml:space="preserve">. The provisions of this Agreement shall be binding upon and shall inure to the benefit of the parties hereto and their respective successors and assigns. Except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transfer or assignment shall not relieve Parent of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Times;Serif" w:hAnsi="Times New Roman;Times;Serif"/>
          <w:b/>
          <w:i/>
          <w:caps w:val="false"/>
          <w:smallCaps w:val="false"/>
          <w:sz w:val="20"/>
        </w:rPr>
        <w:t>Delaware Courts</w:t>
      </w:r>
      <w:r>
        <w:rPr>
          <w:rFonts w:ascii="Times New Roman;Times;Serif" w:hAnsi="Times New Roman;Times;Serif"/>
          <w:b w:val="false"/>
          <w:i w:val="false"/>
          <w:caps w:val="false"/>
          <w:smallCaps w:val="false"/>
          <w:sz w:val="20"/>
        </w:rPr>
        <w:t xml:space="preserv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 and (f)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supersedes all prior agreements and understandings, both written and oral, among or between any of the parties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As used in this Agreement, the words “include” and “including,” and variations thereof, shall not be deemed to be terms of limitation, but rather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Except as otherwise indicated, all references in this Agreement to “Sections,” “Articles,” and “Schedules” are intended to refer to Sections or Articles of this Agreement and Schedules to this Agreement,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The bold-faced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u w:val="single"/>
        </w:rPr>
        <w:t>Capacity as Stockholder</w:t>
      </w:r>
      <w:r>
        <w:rPr>
          <w:rFonts w:ascii="Times New Roman;Times;Serif" w:hAnsi="Times New Roman;Times;Serif"/>
          <w:b w:val="false"/>
          <w:i w:val="false"/>
          <w:caps w:val="false"/>
          <w:smallCaps w:val="false"/>
          <w:sz w:val="20"/>
        </w:rPr>
        <w:t>. The Stockholder is entering into this Agreement solely in the Stockholder’s capacity as a holder of Company Common Stock,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75"/>
        <w:gridCol w:w="888"/>
        <w:gridCol w:w="1711"/>
      </w:tblGrid>
      <w:tr>
        <w:trPr/>
        <w:tc>
          <w:tcPr>
            <w:tcW w:w="75" w:type="dxa"/>
            <w:tcBorders/>
            <w:vAlign w:val="center"/>
          </w:tcPr>
          <w:p>
            <w:pPr>
              <w:pStyle w:val="TableContents"/>
              <w:bidi w:val="0"/>
              <w:spacing w:before="0" w:after="283"/>
              <w:jc w:val="left"/>
              <w:rPr>
                <w:caps/>
              </w:rPr>
            </w:pPr>
            <w:r>
              <w:rPr>
                <w:caps/>
              </w:rPr>
              <w:t> </w:t>
            </w:r>
          </w:p>
        </w:tc>
        <w:tc>
          <w:tcPr>
            <w:tcW w:w="259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Carisma Therapeutics Inc.</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sz w:val="20"/>
              </w:rPr>
            </w:pPr>
            <w:r>
              <w:rPr>
                <w:sz w:val="20"/>
              </w:rPr>
              <w:t>By:</w:t>
            </w:r>
          </w:p>
        </w:tc>
        <w:tc>
          <w:tcPr>
            <w:tcW w:w="171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75"/>
        <w:gridCol w:w="374"/>
        <w:gridCol w:w="1371"/>
      </w:tblGrid>
      <w:tr>
        <w:trPr/>
        <w:tc>
          <w:tcPr>
            <w:tcW w:w="75" w:type="dxa"/>
            <w:tcBorders/>
            <w:vAlign w:val="center"/>
          </w:tcPr>
          <w:p>
            <w:pPr>
              <w:pStyle w:val="TableContents"/>
              <w:bidi w:val="0"/>
              <w:spacing w:before="0" w:after="283"/>
              <w:jc w:val="left"/>
              <w:rPr>
                <w:caps/>
              </w:rPr>
            </w:pPr>
            <w:r>
              <w:rPr>
                <w:caps/>
              </w:rPr>
              <w:t> </w:t>
            </w:r>
          </w:p>
        </w:tc>
        <w:tc>
          <w:tcPr>
            <w:tcW w:w="1745"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Orthocellix, Inc.</w:t>
            </w:r>
          </w:p>
        </w:tc>
      </w:tr>
      <w:tr>
        <w:trPr/>
        <w:tc>
          <w:tcPr>
            <w:tcW w:w="75"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20"/>
              </w:rPr>
            </w:pPr>
            <w:r>
              <w:rPr>
                <w:sz w:val="20"/>
              </w:rPr>
              <w:t>By:</w:t>
            </w:r>
          </w:p>
        </w:tc>
        <w:tc>
          <w:tcPr>
            <w:tcW w:w="13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left"/>
              <w:rPr>
                <w:sz w:val="20"/>
              </w:rPr>
            </w:pPr>
            <w:r>
              <w:rPr>
                <w:sz w:val="20"/>
              </w:rPr>
              <w:t>Title: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320"/>
        <w:gridCol w:w="1055"/>
      </w:tblGrid>
      <w:tr>
        <w:trPr/>
        <w:tc>
          <w:tcPr>
            <w:tcW w:w="75" w:type="dxa"/>
            <w:tcBorders/>
            <w:vAlign w:val="center"/>
          </w:tcPr>
          <w:p>
            <w:pPr>
              <w:pStyle w:val="TableContents"/>
              <w:bidi w:val="0"/>
              <w:spacing w:before="0" w:after="283"/>
              <w:jc w:val="left"/>
              <w:rPr>
                <w:caps/>
              </w:rPr>
            </w:pPr>
            <w:r>
              <w:rPr>
                <w:caps/>
              </w:rPr>
              <w:t> </w:t>
            </w:r>
          </w:p>
        </w:tc>
        <w:tc>
          <w:tcPr>
            <w:tcW w:w="1375"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Ocugen, Inc.</w:t>
            </w:r>
          </w:p>
        </w:tc>
      </w:tr>
      <w:tr>
        <w:trPr/>
        <w:tc>
          <w:tcPr>
            <w:tcW w:w="75"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0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20"/>
              </w:rPr>
            </w:pPr>
            <w:r>
              <w:rPr>
                <w:sz w:val="20"/>
              </w:rPr>
              <w:t>Name: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269" w:type="dxa"/>
        <w:jc w:val="left"/>
        <w:tblInd w:w="0" w:type="dxa"/>
        <w:tblLayout w:type="fixed"/>
        <w:tblCellMar>
          <w:top w:w="0" w:type="dxa"/>
          <w:left w:w="0" w:type="dxa"/>
          <w:bottom w:w="0" w:type="dxa"/>
          <w:right w:w="0" w:type="dxa"/>
        </w:tblCellMar>
      </w:tblPr>
      <w:tblGrid>
        <w:gridCol w:w="75"/>
        <w:gridCol w:w="3407"/>
        <w:gridCol w:w="1787"/>
      </w:tblGrid>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Title of Signatory, if Signing on Behalf of an Entity)</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8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28" w:type="dxa"/>
          <w:right w:w="0" w:type="dxa"/>
        </w:tblCellMar>
      </w:tblPr>
      <w:tblGrid>
        <w:gridCol w:w="1745"/>
        <w:gridCol w:w="1655"/>
      </w:tblGrid>
      <w:tr>
        <w:trPr/>
        <w:tc>
          <w:tcPr>
            <w:tcW w:w="17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 of Stockholder</w:t>
            </w:r>
          </w:p>
        </w:tc>
        <w:tc>
          <w:tcPr>
            <w:tcW w:w="1655" w:type="dxa"/>
            <w:tcBorders/>
            <w:tcMar>
              <w:bottom w:w="0" w:type="dxa"/>
            </w:tcMar>
            <w:vAlign w:val="center"/>
          </w:tcPr>
          <w:p>
            <w:pPr>
              <w:pStyle w:val="TableContents"/>
              <w:pBdr>
                <w:bottom w:val="single" w:sz="6" w:space="1" w:color="000000"/>
              </w:pBdr>
              <w:bidi w:val="0"/>
              <w:spacing w:before="0" w:after="0"/>
              <w:ind w:left="0" w:right="0" w:hanging="0"/>
              <w:jc w:val="center"/>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No. Shares         </w:t>
            </w:r>
          </w:p>
        </w:tc>
      </w:tr>
      <w:tr>
        <w:trPr/>
        <w:tc>
          <w:tcPr>
            <w:tcW w:w="17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5"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262.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in lieu of fractional shares or fractional depository receipts described in the foregoing paragraphs (b)(2)a. and b. of this section; 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[Repealed.]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Appraisal rights shall be perfected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10" w:name="tm2518620d2_ex10-4.htm"/>
      <w:bookmarkStart w:id="11" w:name="kstm2518620d2_ex104"/>
      <w:bookmarkEnd w:id="10"/>
      <w:bookmarkEnd w:id="11"/>
      <w:r>
        <w:rPr>
          <w:b/>
        </w:rPr>
        <w:t>Exhibit 10.4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 understands that: (i) </w:t>
      </w:r>
      <w:r>
        <w:rPr>
          <w:rFonts w:ascii="Times New Roman;Times;Serif" w:hAnsi="Times New Roman;Times;Serif"/>
          <w:b/>
          <w:i w:val="false"/>
          <w:caps/>
          <w:sz w:val="20"/>
        </w:rPr>
        <w:t>Carisma therapeutics Inc.</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has entered into an Agreement and Plan of Merger, dated as of [●], 2025 (as such agreement may be amended, restated, amended and restated or otherwise modified from time to time,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xml:space="preserve">”), with </w:t>
      </w:r>
      <w:r>
        <w:rPr>
          <w:rFonts w:ascii="Times New Roman;Times;Serif" w:hAnsi="Times New Roman;Times;Serif"/>
          <w:b/>
          <w:i w:val="false"/>
          <w:caps/>
          <w:sz w:val="20"/>
        </w:rPr>
        <w:t>Orthocellix,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Ocugen,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sz w:val="20"/>
        </w:rPr>
        <w:t>Azalea Merger Sub, Inc.</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a Delaware corporation and wholly owned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pursuant to which, at the effective time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Merger Sub will be merged with and into the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and the separate corporate existence of Merger Sub will cease and the Company will continue as the surviving corporation; and (ii) in connection with the Merger, the stockholders of the Company will receive shares of common stock, par value $0.001 per share, of Parent (“</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Capitalized terms used but not otherwise defined herein shall have the respective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and inducement to the willingness of each of the parties to enter into the Merger Agreement and to consummate the Contemplated Transactions, and for other good and valuable consideration, the receipt and sufficiency of which are hereby acknowledged, the Stockholder hereby agrees that the Stockholder will not, subject to the exceptions set forth in this letter agreement, during the period commencing upon the date hereof and ending on the date that is 180 days after the Effective Time (the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(a) offer, pledge, sell, contract to sell, sell any option or contract to purchase, purchase any option or contract to sell, grant any option, right or warrant to purchase, lend, or otherwise transfer or dispose of, directly or indirectly, any shares of Parent Common Stock received by the Stockholder in connection with the Contemplated Transactions or any securities of Parent received by the Stockholder in connection with the Contemplated Transactions that are convertible into or exercisable or exchangeable for Parent Common Stock, including without limitation, Parent Common Stock or such other securities which may be deemed to be beneficially owned by the Stockholder in accordance with the rules and regulations of the U.S. Securities and Exchange Commission and securities of Parent which may be issued upon exercise of a stock option or warrant or settlement of a restricted stock unit or other equity award (collectively,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(b) enter into any swap, short sale, hedge or other agreement that transfers, in whole or in part, any of the economic consequences of ownership of the Shares, regardless of whether any such transaction described in clause (a) or (b) above is to be settled by delivery of Parent Common Stock or such other securities, in cash or otherwise, or (c) make any demand for or exercise any right with respect to the registration of any Shares, in each case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transfers of Shares as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charitable contributions, gifts or donations as such term is described in Section 501(c)(3)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Stockholder is a natural person, transfers or dispositions of Shares to (A) any person related to the Stockholder by blood or adoption who is an immediate family member of the Stockholder, or by marriage or domestic partnership, or to a trust formed for the benefit of the Stockholder or any of the Stockholder’s immediate family, (B) to the Stockholder’s estate, following the death of the Stockholder, by will, intestacy or other operation of Law, (C) by operation of law, such as pursuant to a qualified domestic order or in connection with a divorce settlement, or (D) to any corporation, partnership or other entity, in each case, all of the beneficial ownership interests of which are held by the Stockholder or an immediate family member of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Stockholder is a corporation, partnership or other entity, (A) to another corporation, partnership, or other entity that is a direct or indirect affiliate (as defined under Rule 12b-2 of the Exchange Act) of the Stockholder, including investment funds or other entities under common control or management with the Stockholder (including, for the avoidance of doubt, where the Stockholder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Stockholder (including upon the liquidation and dissolution of the Stockholder pursuant to a plan of liquidation approved by the Stockholder’s equity holders), (C) transfers or dispositions not involving a change in beneficial ownership or (D) with prior written consent of Parent (as constituted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transfers or dispositions of Shares by will, other testamentary document or intestate succession to the legal representative, heir, beneficiary or a member of the immediate family of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transfers of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transfers that occur by operation of law pursuant to a qualified domestic relations order or in connection with a divorce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transfers or dispositions not involving a change in beneficial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if the Stockholder is a trust, transfers or dispositions to any beneficiary of the Stockholder or the estate of any such beneficiary;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transfer or distribution of this clause (viii) such transfer is not for value and each donee, heir, beneficiary or other transferee or distributee shall sign and deliver to Parent a lock up agreement in the form of this letter agreement with respect to the shares of Parent Common Stock or such other securities that have been transferred or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transfers pursuant to a bona fide third party tender offer, merger, consolidation or other similar transaction made to all holders of the Parent’s capital stock involving a change of control of the Parent,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such tender offer, merger, consolidation or other such transaction is not completed, the Shares shall remain subject to the restrictions contained in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sales in open market transactions (including, without limitation, the establishment of a 10b5-1 Plan (as defined below) and any sales pursuant to such 10b5-1 Plan) during the Restricted Period to generate such amount of net proceeds to the Stockholder from such sales (after deducting commissions) in an aggregate amount up to the total amount of taxes or estimated taxes (as applicable) that become due as a result of the vesting and/or settlement of restricted stock units held by the Stockholder that are scheduled to vest and/or settle immediately prior to or during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transfers pursuant to an order of a court or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transfers, distributions, sales or other transactions with the prior written consent of Parent (as constituted following the Closing);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transfers, distributions, sales or other transactions of Parent Common Stock, if any, issued in connection with the Concurrent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(d) publicly disclose the intention to do any of the foregoing described in clauses (a), (b) and (c) above;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of clauses (i)-(viii), (1) other than with respect to clause (v), no filing by any party (including any donor, donee, transferor or transferee, distributor or distributee)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(2) other than with respect to clause (v), any such transfer or distribution shall not involve a disposition for value, and (3) the transferee or donee agrees in writing to be bound by the terms and conditions of this letter agreement and either the Stockholder or the transferee or donee provides Parent with a copy of such agreement promptly upon consummation of any such transfer; </w:t>
      </w:r>
      <w:r>
        <w:rPr>
          <w:rFonts w:ascii="Times New Roman;Times;Serif" w:hAnsi="Times New Roman;Times;Serif"/>
          <w:b w:val="false"/>
          <w:i/>
          <w:caps w:val="false"/>
          <w:smallCaps w:val="false"/>
          <w:sz w:val="20"/>
          <w:u w:val="single"/>
        </w:rPr>
        <w:t>provided further</w:t>
      </w:r>
      <w:r>
        <w:rPr>
          <w:rFonts w:ascii="Times New Roman;Times;Serif" w:hAnsi="Times New Roman;Times;Serif"/>
          <w:b w:val="false"/>
          <w:i w:val="false"/>
          <w:caps w:val="false"/>
          <w:smallCaps w:val="false"/>
          <w:sz w:val="20"/>
        </w:rPr>
        <w:t>, that in the case of clause (x), filings under Section 16(a) of the Exchange Act shall only be permissible if such filing clearly indicates in the footnotes thereto that the filing relates to securities being sold to generate net proceeds up to the total amount of taxes or estimated taxes (as applicable) that become due as a result of the vesting and/or settlement of Parent equity awards. For purposes of this letter agreement, “immediate family” shall mean any relationship by blood, marriage or adoption, not more remote than first cousin.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restrictions imposed by this letter agreement, the Stockholder may (a) exercise an option or warrant to purchase Shares or settle a restricted stock unit or other equity award (including a net or cashless exercise of such option or warrant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the Shares are transferred to Parent and not sold on the open market) and </w:t>
      </w:r>
      <w:r>
        <w:rPr>
          <w:rFonts w:ascii="Times New Roman;Times;Serif" w:hAnsi="Times New Roman;Times;Serif"/>
          <w:b w:val="false"/>
          <w:i/>
          <w:caps w:val="false"/>
          <w:smallCaps w:val="false"/>
          <w:sz w:val="20"/>
          <w:u w:val="single"/>
        </w:rPr>
        <w:t>provided further</w:t>
      </w:r>
      <w:r>
        <w:rPr>
          <w:rFonts w:ascii="Times New Roman;Times;Serif" w:hAnsi="Times New Roman;Times;Serif"/>
          <w:b w:val="false"/>
          <w:i w:val="false"/>
          <w:caps w:val="false"/>
          <w:smallCaps w:val="false"/>
          <w:sz w:val="20"/>
        </w:rPr>
        <w:t>, that the underlying Shares shall continue to be subject to the restrictions on transfer set forth in this letter agreement, (b) transfer Shares to Parent to cover tax withholding obligations of the Stockholder in connection with the vesting, settlement or exercise of such options, warrants, restricted stock units or other equity awards, as applicable, (c) establish a trading plan pursuant to Rule 10b5-1 under the Exchange Act (“</w:t>
      </w:r>
      <w:r>
        <w:rPr>
          <w:rFonts w:ascii="Times New Roman;Times;Serif" w:hAnsi="Times New Roman;Times;Serif"/>
          <w:b/>
          <w:i/>
          <w:caps w:val="false"/>
          <w:smallCaps w:val="false"/>
          <w:sz w:val="20"/>
        </w:rPr>
        <w:t>10b5-1 Plan</w:t>
      </w:r>
      <w:r>
        <w:rPr>
          <w:rFonts w:ascii="Times New Roman;Times;Serif" w:hAnsi="Times New Roman;Times;Serif"/>
          <w:b w:val="false"/>
          <w:i w:val="false"/>
          <w:caps w:val="false"/>
          <w:smallCaps w:val="false"/>
          <w:sz w:val="20"/>
        </w:rPr>
        <w:t xml:space="preserve">”) for the transfer of Shares,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plan does not provide for any transfers of Shares during the Restricted Period (except as provided in clause (ix) above) and, </w:t>
      </w:r>
      <w:r>
        <w:rPr>
          <w:rFonts w:ascii="Times New Roman;Times;Serif" w:hAnsi="Times New Roman;Times;Serif"/>
          <w:b w:val="false"/>
          <w:i/>
          <w:caps w:val="false"/>
          <w:smallCaps w:val="false"/>
          <w:sz w:val="20"/>
          <w:u w:val="single"/>
        </w:rPr>
        <w:t>provided further,</w:t>
      </w:r>
      <w:r>
        <w:rPr>
          <w:rFonts w:ascii="Times New Roman;Times;Serif" w:hAnsi="Times New Roman;Times;Serif"/>
          <w:b w:val="false"/>
          <w:i w:val="false"/>
          <w:caps w:val="false"/>
          <w:smallCaps w:val="false"/>
          <w:sz w:val="20"/>
        </w:rPr>
        <w:t xml:space="preserve"> that, no filing under the Exchange Act or other public announcement shall be made voluntarily in connection with the establishment of such a plan (except if the Stockholder is a director or officer of Parent, for disclosure required under Item 408 to Regulation S-K), (d) transfer Shares to Parent pursuant to arrangements under which Parent has the option to repurchase such Shares, or (e) transfer or dispose of Shares acquired on the open market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attempted transfer in violation of this letter agreement will be of no effect and null and void, regardless of whether the purported transferee has any actual or constructive knowledge of the transfer restrictions set forth in this letter agreement, and will not be recorded on the stock transfer books of Parent. In order to ensure compliance with the restrictions referred to herein, the Stockholder agrees that Parent may issue appropriate “stop transfer” certificates or instructions. Parent may cause the legend set forth below, or a legend substantially equivalent thereto, to be placed upon any certificate(s) or other documents or instruments evidencing ownership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AND MAY ONLY BE TRANSFERRED IN COMPLIANCE WITH A LOCK-UP AGREEMENT, A COPY OF WHICH IS ON FILE AT THE PRINCIPAL OFFICE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hereby represents and warrants that the Stockholder has full power and authority to enter into this letter agreement. All authority conferred or agreed to be conferred and any obligations of the Stockholder under this letter agreement will be binding upon the successors, assigns, heirs or personal representatives of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during the Restricted Period any holder of Parent’s securities that is subject to a substantially similar agreement entered into by such holder, other than the Stockholder, is permitted by Parent to sell or otherwise transfer or dispose of shares of Parent Common Stock for value other than as permitted by this or a substantially similar agreement entered into by such holder, the same percentage of shares of Parent Common Stock held by the Stockholder shall be immediately and fully released on the same terms from any remaining restrictions set forth herein (the “</w:t>
      </w:r>
      <w:r>
        <w:rPr>
          <w:rFonts w:ascii="Times New Roman;Times;Serif" w:hAnsi="Times New Roman;Times;Serif"/>
          <w:b/>
          <w:i/>
          <w:caps w:val="false"/>
          <w:smallCaps w:val="false"/>
          <w:sz w:val="20"/>
        </w:rPr>
        <w:t>Pro-Rata Release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originally subject to a substantially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release of any Shares from this letter agreement, Parent will cooperate with the Stockholder to facilitate the timely preparation and delivery of certificates or the establishment of book entry positions at the Parent’s transfer agent representing the Shares without the restrictive legend above and the withdrawal of any stop transfer instructions at the Parent’s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understands that each of Parent and the Company is relying upon this letter agreement in proceeding toward consummation of the Merger. The Stockholder further understands that this letter agreement is irrevocable and is binding upon the Stockholder’s heirs, legal representatives,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understands that if the Merger Agreement is terminated in accordance with its terms, or the board of directors of Parent makes a Parent Board Adverse Recommendation Change, the Stockholder will be released from all obligations under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by electronic (i.e., PDF) transmission, which is deemed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75"/>
        <w:gridCol w:w="2225"/>
        <w:gridCol w:w="931"/>
        <w:gridCol w:w="1658"/>
        <w:gridCol w:w="190"/>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c>
          <w:tcPr>
            <w:tcW w:w="2779"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vAlign w:val="center"/>
          </w:tcPr>
          <w:p>
            <w:pPr>
              <w:pStyle w:val="TableContents"/>
              <w:bidi w:val="0"/>
              <w:spacing w:before="0" w:after="283"/>
              <w:jc w:val="left"/>
              <w:rPr>
                <w:b/>
              </w:rPr>
            </w:pPr>
            <w:r>
              <w:rPr>
                <w:b/>
              </w:rPr>
              <w:t>Signature (for individuals):</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vAlign w:val="center"/>
          </w:tcPr>
          <w:p>
            <w:pPr>
              <w:pStyle w:val="TableContents"/>
              <w:bidi w:val="0"/>
              <w:spacing w:before="0" w:after="283"/>
              <w:jc w:val="left"/>
              <w:rPr>
                <w:b/>
              </w:rPr>
            </w:pPr>
            <w:r>
              <w:rPr>
                <w:b/>
              </w:rPr>
              <w:t>Signature (for entities):</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7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By:</w:t>
            </w:r>
          </w:p>
        </w:tc>
        <w:tc>
          <w:tcPr>
            <w:tcW w:w="184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658" w:type="dxa"/>
            <w:tcBorders/>
            <w:vAlign w:val="center"/>
          </w:tcPr>
          <w:p>
            <w:pPr>
              <w:pStyle w:val="TableContents"/>
              <w:bidi w:val="0"/>
              <w:spacing w:before="0" w:after="283"/>
              <w:jc w:val="left"/>
              <w:rPr/>
            </w:pPr>
            <w:r>
              <w:rPr/>
              <w:t>Name:</w:t>
            </w:r>
          </w:p>
        </w:tc>
        <w:tc>
          <w:tcPr>
            <w:tcW w:w="1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658" w:type="dxa"/>
            <w:tcBorders/>
            <w:vAlign w:val="center"/>
          </w:tcPr>
          <w:p>
            <w:pPr>
              <w:pStyle w:val="TableContents"/>
              <w:bidi w:val="0"/>
              <w:spacing w:before="0" w:after="283"/>
              <w:jc w:val="left"/>
              <w:rPr/>
            </w:pPr>
            <w:r>
              <w:rPr/>
              <w:t>Title:</w:t>
            </w:r>
          </w:p>
        </w:tc>
        <w:tc>
          <w:tcPr>
            <w:tcW w:w="19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t>
      </w:r>
      <w:r>
        <w:rPr>
          <w:rFonts w:ascii="Times New Roman;Times;Serif" w:hAnsi="Times New Roman;Times;Serif"/>
          <w:b w:val="false"/>
          <w:i w:val="false"/>
          <w:smallCaps/>
          <w:sz w:val="20"/>
        </w:rPr>
        <w:t>Signature Page to Lock-up Agreement</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12" w:name="tm2518620d2_ex99-1.htm"/>
      <w:bookmarkStart w:id="13" w:name="kstm2518620d2_ex991"/>
      <w:bookmarkEnd w:id="12"/>
      <w:bookmarkEnd w:id="1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Carisma Therapeutics and OrthoCellix Enter into Definitive Merger Agreement to Create Company Focused on Regenerative Cell Therapies for Orthopedic Diseases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center"/>
              <w:rPr>
                <w:i/>
              </w:rPr>
            </w:pPr>
            <w:r>
              <w:rPr>
                <w:i/>
              </w:rPr>
              <w:t>Proposed reverse merger with OrthoCellix, a wholly-owned subsidiary of Ocugen, to create Nasdaq-listed, late clinical-stage regenerative cell therapy company with a first-in-class technology platform, focused on orthopedic diseases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center"/>
              <w:rPr>
                <w:i/>
              </w:rPr>
            </w:pPr>
            <w:r>
              <w:rPr>
                <w:i/>
              </w:rPr>
              <w:t>OrthoCellix is developing the Phase 3-ready NeoCart® as an autologous cartilage implant technology utilizing patient cells to repair articular cartilage defects of the knee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and MALVERN, PA. June 23, 2025 (Globe Newswire) -- Carisma Therapeutics Inc. (Nasdaq: CARM) (Carisma) and OrthoCellix, Inc. (OrthoCellix), a wholly-owned subsidiary of Ocugen, Inc. (Nasdaq: OCGN) (Ocugen), a clinical-stage company developing regenerative cell therapies for orthopedic diseases, today jointly announced that they have entered into a definitive merger agreement to combine the companies in an all-stock transaction. The combined company will focus on the development of OrthoCellix’s NeoCart® technology for the treatment of knee articular cartilage defects and plans to initiate a U.S. Food and Drug Administration (FDA)-endorsed Phase 3 clinical trial for NeoCart®.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merging OrthoCellix with Carisma will allow us to create a publicly-traded company focused on the development of NeoCart® and provide value for both Ocugen and Carisma stockholders while unlocking true market potential of NeoCart®,” said Dr. Shankar Musunuri, Chairman, Chief Executive Officer, and Co-founder of Ocugen. “We believe NeoCart® has tremendous potential to deliver a truly transformative approach to cartilage repair, and we’ve established OrthoCellix with dedicated resources to bring this revolutionary technology to the patients who desperately need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Carisma evaluated a range of strategic alternatives, and we believe this proposed transaction represents an opportunity to deliver significant value to our stockholders,” said Steven Kelly, President and Chief Executive Officer, of Carisma. “OrthoCellix is strongly positioned with its NeoCart® platform, a dedication to developing regenerative cell therapies, and a well-credentialed management team to lead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About OrthoCellix’s NeoCart</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OrthoCellix is developing NeoCart® as an autologous cartilage implant technology utilizing patient cells to repair articular cartilage defects of the knee. The novel platform merges a fortified 3D scaffold and patented bioprocessing technology to grow chondrocytes—the cells responsible for maintaining cartilage health—to produce adolescent-like cartilage at the time of implant. NeoCart® has the potential to accelerate healing and reduce pain by creating a similar, functional joint surface to help patients return to normal activities and prevent complications associated with articular cartilage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OrthoCellix anticipates launching its Phase 3 clinical trial by the end of 2025. Previously, NeoCart® received Regenerative Medicine Advanced Therapy (RMAT) designation and concurrence from the FDA on a single, confirmatory Phase 3 clinical trial to enable submission of a Biologics License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the Proposed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OrthoCellix will merge with and into a wholly-owned subsidiary of Carisma, with OrthoCellix continuing as a wholly-owned subsidiary of Carisma and the surviving company of the Merger. Carisma will issue to the pre-merger OrthoCellix stockholder shares of Carisma common stock as merger consideration in exchange for the cancellation of shares of capital stock of OrthoCellix. Carisma also expects to enter into subscription agreements for a private financing with Ocugen and other select investors, which is expected to close concurrently with the completion of the merger, to enable the combined company to complete the Phase 3 trial of NeoCart® without any additional cost or investment from Ocugen. In connection with the closing of the proposed transactions, Carisma stockholders will be issued contingent value rights representing the right to receive certain payments from proceeds received by the combined company, if any, related to Carisma’s pre-transaction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upon the closing of the proposed transactions and after giving effect to the contemplated $25.0 million concurrent financing, OrthoCellix’s stockholder and the other participants in the concurrent financing are expected to own approximately 90% of the combined company, and existing Carisma stockholders are expected to own approximately 10% of the combined company, each on a fully diluted basis. The percentage of the combined company that each company’s former stockholders will own after completion of the merger is subject to adjustment based on Carisma’s net cash at the closing and the proceeds from the concurrent financing, among other adjustments, in each case as described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proposed transactions, “Carisma Therapeutics Inc.” is expected to be renamed “OrthoCellix, Inc.” and trade on the Nasdaq Capital Market under the ticker symbol ‘OCLX.’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unanimously approved by the board of directors of both companies and is expected to close in the second half of 2025, subject to customary closing conditions, including approvals by the stockholders of each company and the effectiveness of a registration statement to be filed with the Securities and Exchange Commission (the “SEC”) to register the shares of Carisma common stock to be issued in connection with the merger. In connection with the companies’ entry into the merger agreement, directors and officers of Carisma and OrthoCellix’s stockholder have executed support agreements, pursuant to which they have agreed to vote all of their shares of capital stock in favor of the merger or the issuance of Carisma equity in the merger,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Wilmer Cutler Pickering Hale and Dorr LLP is serving as legal counsel to Carisma and Lucid Capital Markets, LLC is providing a fairness opinion to Carisma’s board of directors. Chardan is serving as M&amp;A advisor and co-placement agent to OrthoCellix and Ocugen. Lake Street Capital Markets, LLC is co-placement agent to OrthoCellix, as a subsidiary of Ocugen, Goodwin Procter LLP is serving as legal counsel to Ocugen and OrthoCellix, and Paul Hastings LLP is serving as legal counsel to the placement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OrthoCellix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OrthoCellix is a regenerative cell therapy company dedicated to developing a first-in-class technology platform focused on cartilage defects and other orthopedic diseases to address considerable unmet medical needs. The lead program within OrthoCellix is NeoCart® with revolutionary 3D cell therapy technology designed to repair and restore articular cartilage defects in the knee. The Company has a pipeline of additional treatments based on its proprietary scaffold bioreactor and adhesive. OrthoCellix will utilize the Good Manufacturing Practice facility established by Ocugen to support OrthoCellix’s initial development of NeoCart®.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Carisma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Carisma Therapeutics is a biotechnology company pioneering macrophage engineering to develop groundbreaking therapies for fibrosis and cancer. With a strong commitment to patient-centric innovation, Carisma aims to deliver scalable, next-generation solutions that transform treatment paradigms. Carisma is headquartered in Philadelphia, PA. For more information, please visit www.Carismatx.com.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on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communication, other than purely historical information, may constitute “forward-looking statements” within the meaning of the federal securities laws, including for purposes of the “safe harbor” provisions under the Private Securities Litigation Reform Act of 1995, concerning Carisma, OrthoCellix, the proposed financing and the proposed merger between Carisma and OrthoCellix (collectively, the “Proposed Transactions”) and other matters. These forward-looking statements include, but are not limited to, express or implied statements relating to Carisma’s and OrthoCellix’s management teams’ expectations, hopes, beliefs, intentions or strategies regarding the future including, without limitation, statements regarding: the structure, timing and completion of the proposed merger by and between Carisma and OrthoCellix; the Proposed Transactions and the expected effects, perceived benefits or opportunities of the Proposed Transactions; the combined company’s listing on Nasdaq after the closing of the Proposed Transactions; expectations regarding the structure, timing and completion of a concurrent financing, including investment amounts from investors, timing of closing of the Proposed Transactions, expected proceeds, expectations regarding the use of proceeds, and impact on ownership structure; the anticipated timing of the closing; the expected executive officers and directors of the combined company; each company’s and the combined company’s expected cash position at the closing and cash runway of the combined company following the proposed merger and any private financing; the future operations of the combined company, including research and development activities; the nature, strategy and focus of the combined company; the development and commercial potential and potential benefits of any product candidates of the combined company, including expectations around market exclusivity and intellectual property protection; anticipated clinical drug development activities and related timelines, including the expected timing for announcement of data and other clinical results; expectations regarding or plans for discovery, preclinical studies, clinical trials and research and development programs, in particular with respect to NeoCart®, and any developments or results in connection therewith, including the target product profile of NeoCart®; the anticipated timing of the commencement of and results from those studies and trials; the sufficiency of post-transaction resources to support the advancement of OrthoCellix’s pipeline through certain milestones and the time period over which OrthoCellix’s post-transaction capital resources will be sufficient to fund its anticipated operations; the cash balance of the combined entity at closing; expectations related to the anticipated timing of the closing of the Proposed Transactions (the “Closing”); the expectations regarding the ownership structure of the combined company; the expected trading of the combined company’s stock on Nasdaq under the ticker symbol “OCLX” after the Closing; and other statements that are not historical fact. All statements other than statements of historical fact contained in this communication are forward-looking statements. In addition, any statements that refer to projections, forecasts or other characterizations of future events or circumstances, including any underlying assumptions, are forward-looking statements.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These forward-looking statements are made based on current expectations, estimates, forecasts, and projections, as well as the beliefs and assumptions of management, concerning future developments and their potential effects. There can be no assurance that future developments affecting Carisma, OrthoCellix, or the Proposed Transactions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a number of risks and uncertainties, some of which are beyond Carisma’s or OrthoCellix’s control, or other assumptions that may cause actual results or performance to be materially different from those expressed or implied by these forward-looking statements. These risks and uncertainties include, but are not limited to, the risk that the conditions to the Closing or consummation of the Proposed Transactions are not satisfied, including the failure to timely obtain approval of the proposed reverse stock split from Carisma’s stockholders and the proposed merger from both Carisma’s and OrthoCellix’s stockholders, if at all; the risk that the proposed concurrent financing is not completed in a timely manner, if at all; uncertainties as to the timing of the consummation of the Proposed Transactions and the ability of each of Carisma and OrthoCellix to consummate the Proposed Transactions; risks related to Carisma’s continued listing on Nasdaq until closing of the Proposed Transactions and the combined company’s ability to remain listed following the Closing; risks related to Carisma’s and OrthoCellix’s ability to correctly estimate their respective operating expenses and their respective expenses associated with the Proposed Transactions, as applicable, pending the Closing, as well as uncertainties regarding the impact any delay in the Closing would have on the anticipated cash resources of the combined company, and other events and unanticipated spending and costs that could reduce the combined company’s cash resources; risks related to the failure or delay in obtaining required approvals from any governmental or quasi-governmental entity necessary to consummate the Proposed Transactions; the occurrence of any event, change or other circumstance or condition that could give rise to the termination of the merger agreement; the effect of the announcement or pendency of the merger on Carisma’s or OrthoCellix’s business relationships, operating results and business generally; costs related to the merger; the risk that as a result of adjustments to the exchange ratio, OrthoCellix stockholders and Carisma stockholders could own more or less of the combined company than is currently anticipated; risks related to the market price of Carisma’s common stock relative to the value suggested by the exchange ratio; the uncertainties associated with OrthoCellix’s NeoCart® portfolio, as well as risks associated with the clinical development and regulatory approval of product candidates, including potential delays in the completion of clinical trials; risks related to the inability of the combined company to obtain sufficient additional capital to continue to advance these product candidates; uncertainties in obtaining successful clinical results for product candidates and unexpected costs that may result therefrom; risks related to the failure to realize any value from product candidates being developed and anticipated to be developed in light of inherent risks and difficulties involved in successfully bringing product candidates to market; the outcome of any legal proceedings that may be instituted against Carisma, OrthoCellix or any of their respective directors or officers related to the Proposed Transactions; the ability of Carisma and OrthoCellix to obtain, maintain, and protect their respective intellectual property rights; competitive responses to the Proposed Transactions; costs of the Proposed Transactions and unexpected costs, charges or expenses resulting from the Proposed Transactions; potential adverse reactions or changes to business relationships, operating results, and business generally, resulting from the announcement or completion of the Proposed Transactions; changes in regulatory requirements and government incentives; risks associated with the possible failure to realize, or that it may take longer to realize than expected, certain anticipated benefits of the Proposed Transactions, including with respect to future financial and operating results, legislative, regulatory, political and economic developments, and those uncertainties and factors; and the risk of involvement in litigation, including securities class action litigation, that could divert the attention of the management of Carisma or the combined company, harm the combined company’s business and may not be sufficient for insurance coverage to cover all costs and damages,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Carisma’s Annual Report on Form 10-K for the year ended December 31, 2024, which was originally filed with the SEC on March 31, 2025, as amended by Amendment No. 1 to the Annual Report on Form 10-K/A, which was filed with the SEC on April 29, 2025, subsequent Quarterly Reports on Form 10-Q filed with the SEC, and in other filings that Carisma makes and will make with the SEC in connection with the Proposed Transactions, including the Form S-4 and Proxy Statement described below under “Additional Information and Where to Find It”, as well as discussions of potential risks, uncertainties, and other important factors included in other filings by Carisma from time to time, any risk factors related to Carisma or OrthoCellix made available to you in connection with the Proposed Transactions, as well as risk factors associated with companies, such as OrthoCellix, that operate in the biopharma industry. Should one or more of these risks or uncertainties materialize, or should any of Carisma’s or OrthoCellix’s assumptions prove incorrect, actual results may vary in material respects from those projected in these forward-looking statements.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Neither Carisma nor OrthoCellix undertakes or accepts any duty to release publicly any updates or revisions to any forward-looking statements contained herein to reflect any change in its expectations with regard thereto or any change in events, conditions or circumstances on which any such statements are based, except as required by law. This communication does not purport to summarize all of the conditions, risks and other attributes of an investment in Carisma or OrthoCellix.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 Offer or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and the information contained herein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offering of securities shall be made except by means of a prospectus meeting the requirements of Section 10 of the Securities Act of 1933, as amended, and otherwise in accordance with applicable law,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COMMUNICATION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about the Proposed Transactions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merger involving Carisma and OrthoCellix and may be deemed to be solicitation material in respect of the proposed merger. In connection with the Proposed Transactions, Carisma intends to file relevant materials with the SEC, including a registration statement on Form S-4 (the “Form S-4”) that will contain a proxy statement (the “Proxy Statement”) and prospectus. This communication is not a substitute for the Form S-4, the Proxy Statement or for any other document that Carisma may file with the SEC and/or send to Carisma’s stockholders in connection with the proposed merger. CARISMA URGES, BEFORE MAKING ANY VOTING DECISION, INVESTORS AND STOCKHOLDERS TO READ THE FORM S-4, THE PROXY STATEMENT AND ANY OTHER RELEVANT DOCUMENTS THAT MAY BE FILED WITH THE SEC, AS WELL AS ANY AMENDMENTS OR SUPPLEMENTS TO THESE DOCUMENTS, CAREFULLY AND IN THEIR ENTIRETY IF AND WHEN THEY BECOME AVAILABLE BECAUSE THEY WILL CONTAIN IMPORTANT INFORMATION ABOUT CARISMA, ORTHOCELLIX, THE PROPOSED TRANSACTIONS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and stockholders will be able to obtain free copies of the Form S-4, the Proxy Statement and other documents filed by Carisma with the SEC (when they become available)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Copies of the documents filed by Carisma with the SEC will also be available free of charge on Carisma’s website at </w:t>
      </w:r>
      <w:r>
        <w:rPr>
          <w:rFonts w:ascii="Times New Roman;Times;Serif" w:hAnsi="Times New Roman;Times;Serif"/>
          <w:b w:val="false"/>
          <w:i/>
          <w:caps w:val="false"/>
          <w:smallCaps w:val="false"/>
          <w:sz w:val="20"/>
        </w:rPr>
        <w:t>www.carismatx.com</w:t>
      </w:r>
      <w:r>
        <w:rPr>
          <w:rFonts w:ascii="Times New Roman;Times;Serif" w:hAnsi="Times New Roman;Times;Serif"/>
          <w:b w:val="false"/>
          <w:i w:val="false"/>
          <w:caps w:val="false"/>
          <w:smallCaps w:val="false"/>
          <w:sz w:val="20"/>
        </w:rPr>
        <w:t>, or by contacting Carisma’s Investor Relations at investors@Carismatx.com. In addition, investors and stockholders should note that Carisma communicates with investors and the public using its website at https://ir.Carismatx.com/.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Participants in the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Carisma, OrthoCellix, and their respective directors and certain of their executive officers and other members of management may be deemed to be participants in the solicitation of proxies from Carisma’s stockholders in connection with the Proposed Transactions under the rules of the SEC. Information about Carisma’s directors and executive officers, including a description of their interests in Carisma, is included in Carisma’s most recent Annual Report on Form 10-K for the year ended December 31, 2024, which was filed with the SEC on March 31, 2025, as amended by Amendment No. 1 to the Annual Report on Form 10-K, which was filed with the SEC on April 29, 2025. Additional information regarding the persons who may be deemed participants in the proxy solicitations, including about the directors and executive officers of OrthoCellix, and a description of their direct and indirect interests, by security holdings or otherwise, will also be included in the Form S-4, the Proxy Statement and other relevant materials to be filed with the SEC when they become available.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95577</Words>
  <Characters>509929</Characters>
  <CharactersWithSpaces>612536</CharactersWithSpaces>
  <Paragraphs>4087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